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_GB2312" w:hAnsi="Times New Roman" w:eastAsia="仿宋_GB2312" w:cs="仿宋_GB2312"/>
          <w:color w:val="000000"/>
          <w:sz w:val="28"/>
        </w:rPr>
      </w:pPr>
      <w:bookmarkStart w:id="0" w:name="_Toc31433"/>
      <w:bookmarkStart w:id="1" w:name="_Toc14342"/>
      <w:r>
        <w:rPr>
          <w:rFonts w:hint="eastAsia" w:ascii="仿宋_GB2312" w:hAnsi="Times New Roman" w:eastAsia="仿宋_GB2312" w:cs="仿宋_GB2312"/>
          <w:color w:val="000000"/>
          <w:sz w:val="28"/>
        </w:rPr>
        <w:t>附件：</w:t>
      </w:r>
    </w:p>
    <w:p>
      <w:pPr>
        <w:adjustRightInd w:val="0"/>
        <w:snapToGrid w:val="0"/>
        <w:spacing w:line="600" w:lineRule="exact"/>
        <w:jc w:val="center"/>
        <w:rPr>
          <w:rFonts w:ascii="黑体" w:hAnsi="黑体" w:eastAsia="黑体" w:cs="黑体"/>
          <w:bCs/>
          <w:color w:val="000000"/>
          <w:sz w:val="24"/>
          <w:szCs w:val="24"/>
        </w:rPr>
        <w:sectPr>
          <w:pgSz w:w="11906" w:h="16838"/>
          <w:pgMar w:top="1440" w:right="1800" w:bottom="1440" w:left="1800" w:header="851" w:footer="737" w:gutter="0"/>
          <w:cols w:space="425" w:num="1"/>
          <w:docGrid w:type="lines" w:linePitch="312" w:charSpace="0"/>
        </w:sectPr>
      </w:pPr>
      <w:r>
        <w:rPr>
          <w:rFonts w:hint="eastAsia" w:ascii="方正小标宋简体" w:hAnsi="仿宋" w:eastAsia="方正小标宋简体"/>
          <w:bCs/>
          <w:sz w:val="32"/>
          <w:szCs w:val="32"/>
        </w:rPr>
        <w:t>工程勘察、建筑设计行业和市政公用工程优秀勘察设计奖（工业奖）评选工作细则</w:t>
      </w:r>
      <w:bookmarkEnd w:id="0"/>
      <w:bookmarkEnd w:id="1"/>
    </w:p>
    <w:p>
      <w:pPr>
        <w:adjustRightInd w:val="0"/>
        <w:snapToGrid w:val="0"/>
        <w:spacing w:line="520" w:lineRule="exact"/>
        <w:jc w:val="center"/>
        <w:outlineLvl w:val="0"/>
        <w:rPr>
          <w:rFonts w:ascii="黑体" w:hAnsi="黑体" w:eastAsia="黑体" w:cs="黑体"/>
          <w:bCs/>
          <w:color w:val="000000"/>
          <w:sz w:val="28"/>
          <w:szCs w:val="28"/>
        </w:rPr>
      </w:pPr>
      <w:bookmarkStart w:id="2" w:name="_Toc13479"/>
    </w:p>
    <w:p>
      <w:pPr>
        <w:adjustRightInd w:val="0"/>
        <w:snapToGrid w:val="0"/>
        <w:spacing w:line="520" w:lineRule="exact"/>
        <w:jc w:val="center"/>
        <w:outlineLvl w:val="0"/>
        <w:rPr>
          <w:rFonts w:ascii="黑体" w:hAnsi="黑体" w:eastAsia="黑体" w:cs="黑体"/>
          <w:bCs/>
          <w:color w:val="000000"/>
          <w:sz w:val="28"/>
          <w:szCs w:val="28"/>
        </w:rPr>
      </w:pPr>
      <w:r>
        <w:rPr>
          <w:rFonts w:hint="eastAsia" w:ascii="黑体" w:hAnsi="黑体" w:eastAsia="黑体" w:cs="黑体"/>
          <w:bCs/>
          <w:color w:val="000000"/>
          <w:sz w:val="28"/>
          <w:szCs w:val="28"/>
        </w:rPr>
        <w:t>第一章  总  则</w:t>
      </w:r>
      <w:bookmarkEnd w:id="2"/>
    </w:p>
    <w:p>
      <w:pPr>
        <w:adjustRightInd w:val="0"/>
        <w:snapToGrid w:val="0"/>
        <w:spacing w:line="520" w:lineRule="exact"/>
        <w:ind w:firstLine="560" w:firstLineChars="200"/>
        <w:rPr>
          <w:rFonts w:ascii="Times New Roman" w:hAnsi="Times New Roman" w:eastAsia="仿宋_GB2312" w:cs="仿宋_GB2312"/>
          <w:sz w:val="28"/>
          <w:szCs w:val="28"/>
        </w:rPr>
      </w:pPr>
      <w:r>
        <w:rPr>
          <w:rFonts w:hint="eastAsia" w:ascii="黑体" w:hAnsi="黑体" w:eastAsia="黑体"/>
          <w:color w:val="000000"/>
          <w:sz w:val="28"/>
          <w:szCs w:val="28"/>
        </w:rPr>
        <w:t xml:space="preserve">第一条  </w:t>
      </w:r>
      <w:r>
        <w:rPr>
          <w:rFonts w:hint="eastAsia" w:ascii="仿宋_GB2312" w:hAnsi="Times New Roman" w:eastAsia="仿宋_GB2312"/>
          <w:sz w:val="28"/>
          <w:szCs w:val="28"/>
        </w:rPr>
        <w:t>根据《社会组织评比达标表彰活动管理办法》</w:t>
      </w:r>
      <w:r>
        <w:rPr>
          <w:rFonts w:hint="eastAsia" w:ascii="仿宋_GB2312" w:hAnsi="Times New Roman" w:eastAsia="仿宋_GB2312"/>
          <w:color w:val="000000"/>
          <w:sz w:val="28"/>
          <w:szCs w:val="28"/>
        </w:rPr>
        <w:t>（国评组发〔2022〕3号）及</w:t>
      </w:r>
      <w:r>
        <w:rPr>
          <w:rFonts w:hint="eastAsia" w:ascii="仿宋_GB2312" w:hAnsi="Times New Roman" w:eastAsia="仿宋_GB2312"/>
          <w:sz w:val="28"/>
          <w:szCs w:val="28"/>
        </w:rPr>
        <w:t>《工程勘察、建筑设计行业和市政公用工程优秀勘察设计奖评选办法》</w:t>
      </w:r>
      <w:r>
        <w:rPr>
          <w:rFonts w:hint="eastAsia" w:ascii="仿宋_GB2312" w:hAnsi="Times New Roman" w:eastAsia="仿宋_GB2312"/>
          <w:color w:val="000000"/>
          <w:sz w:val="28"/>
          <w:szCs w:val="28"/>
        </w:rPr>
        <w:t>（中设协字〔</w:t>
      </w:r>
      <w:r>
        <w:rPr>
          <w:rFonts w:ascii="仿宋_GB2312" w:hAnsi="Times New Roman" w:eastAsia="仿宋_GB2312"/>
          <w:color w:val="000000"/>
          <w:sz w:val="28"/>
          <w:szCs w:val="28"/>
        </w:rPr>
        <w:t>2022〕47号</w:t>
      </w:r>
      <w:r>
        <w:rPr>
          <w:rFonts w:hint="eastAsia" w:ascii="仿宋_GB2312" w:hAnsi="Times New Roman" w:eastAsia="仿宋_GB2312"/>
          <w:color w:val="000000"/>
          <w:sz w:val="28"/>
          <w:szCs w:val="28"/>
        </w:rPr>
        <w:t>）</w:t>
      </w:r>
      <w:r>
        <w:rPr>
          <w:rFonts w:hint="eastAsia" w:ascii="仿宋_GB2312" w:hAnsi="Times New Roman" w:eastAsia="仿宋_GB2312"/>
          <w:sz w:val="28"/>
          <w:szCs w:val="28"/>
        </w:rPr>
        <w:t>（以下简称</w:t>
      </w:r>
      <w:r>
        <w:rPr>
          <w:rFonts w:hint="eastAsia" w:ascii="Times New Roman" w:hAnsi="Times New Roman" w:eastAsia="仿宋_GB2312"/>
          <w:sz w:val="28"/>
          <w:szCs w:val="28"/>
        </w:rPr>
        <w:t>“评选办法”），制定本细则。</w:t>
      </w:r>
    </w:p>
    <w:p>
      <w:pPr>
        <w:adjustRightInd w:val="0"/>
        <w:snapToGrid w:val="0"/>
        <w:spacing w:line="520" w:lineRule="exact"/>
        <w:ind w:firstLine="560" w:firstLineChars="200"/>
        <w:rPr>
          <w:rFonts w:ascii="Times New Roman" w:hAnsi="Times New Roman" w:eastAsia="仿宋_GB2312" w:cs="仿宋_GB2312"/>
          <w:sz w:val="28"/>
          <w:szCs w:val="28"/>
          <w:highlight w:val="red"/>
        </w:rPr>
      </w:pPr>
      <w:r>
        <w:rPr>
          <w:rFonts w:hint="eastAsia" w:ascii="黑体" w:hAnsi="黑体" w:eastAsia="黑体"/>
          <w:color w:val="000000"/>
          <w:sz w:val="28"/>
          <w:szCs w:val="28"/>
        </w:rPr>
        <w:t xml:space="preserve">第二条  </w:t>
      </w:r>
      <w:r>
        <w:rPr>
          <w:rFonts w:hint="eastAsia" w:ascii="仿宋_GB2312" w:hAnsi="Times New Roman" w:eastAsia="仿宋_GB2312"/>
          <w:sz w:val="28"/>
          <w:szCs w:val="28"/>
        </w:rPr>
        <w:t>本细则适用于工程勘察、建筑设计行业和市政公用工程优秀勘察设计奖</w:t>
      </w:r>
      <w:r>
        <w:rPr>
          <w:rFonts w:hint="eastAsia" w:ascii="仿宋_GB2312" w:eastAsia="仿宋_GB2312"/>
          <w:color w:val="000000"/>
          <w:sz w:val="28"/>
          <w:szCs w:val="28"/>
        </w:rPr>
        <w:t>（以下简称“行业奖”）</w:t>
      </w:r>
      <w:r>
        <w:rPr>
          <w:rFonts w:hint="eastAsia" w:ascii="仿宋_GB2312" w:hAnsi="Times New Roman" w:eastAsia="仿宋_GB2312"/>
          <w:sz w:val="28"/>
          <w:szCs w:val="28"/>
        </w:rPr>
        <w:t>中工业奖（以下简称</w:t>
      </w:r>
      <w:r>
        <w:rPr>
          <w:rFonts w:hint="eastAsia" w:ascii="Times New Roman" w:hAnsi="Times New Roman" w:eastAsia="仿宋_GB2312"/>
          <w:sz w:val="28"/>
          <w:szCs w:val="28"/>
        </w:rPr>
        <w:t>“</w:t>
      </w:r>
      <w:r>
        <w:rPr>
          <w:rFonts w:hint="eastAsia" w:ascii="仿宋_GB2312" w:hAnsi="Times New Roman" w:eastAsia="仿宋_GB2312"/>
          <w:sz w:val="28"/>
          <w:szCs w:val="28"/>
        </w:rPr>
        <w:t>工业奖”）评选的具体工作。</w:t>
      </w:r>
    </w:p>
    <w:p>
      <w:pPr>
        <w:adjustRightInd w:val="0"/>
        <w:snapToGrid w:val="0"/>
        <w:spacing w:line="520" w:lineRule="exact"/>
        <w:ind w:firstLine="560" w:firstLineChars="200"/>
        <w:rPr>
          <w:rFonts w:ascii="仿宋_GB2312" w:hAnsi="Times New Roman" w:eastAsia="仿宋_GB2312"/>
          <w:sz w:val="28"/>
          <w:szCs w:val="28"/>
        </w:rPr>
      </w:pPr>
      <w:r>
        <w:rPr>
          <w:rFonts w:hint="eastAsia" w:ascii="黑体" w:hAnsi="黑体" w:eastAsia="黑体"/>
          <w:color w:val="000000"/>
          <w:sz w:val="28"/>
          <w:szCs w:val="28"/>
        </w:rPr>
        <w:t xml:space="preserve">第三条  </w:t>
      </w:r>
      <w:r>
        <w:rPr>
          <w:rFonts w:hint="eastAsia" w:ascii="仿宋_GB2312" w:hAnsi="Times New Roman" w:eastAsia="仿宋_GB2312"/>
          <w:sz w:val="28"/>
          <w:szCs w:val="28"/>
        </w:rPr>
        <w:t>工业奖奖励对象为在工业工程勘察设计项目实践中做出重要贡献的单位和个人。</w:t>
      </w:r>
    </w:p>
    <w:p>
      <w:pPr>
        <w:adjustRightInd w:val="0"/>
        <w:snapToGrid w:val="0"/>
        <w:spacing w:line="520" w:lineRule="exact"/>
        <w:ind w:firstLine="560" w:firstLineChars="200"/>
        <w:rPr>
          <w:rFonts w:ascii="仿宋_GB2312" w:hAnsi="Times New Roman" w:eastAsia="仿宋_GB2312"/>
          <w:sz w:val="28"/>
          <w:szCs w:val="28"/>
        </w:rPr>
      </w:pPr>
      <w:r>
        <w:rPr>
          <w:rFonts w:hint="eastAsia" w:ascii="黑体" w:hAnsi="黑体" w:eastAsia="黑体"/>
          <w:sz w:val="28"/>
          <w:szCs w:val="28"/>
        </w:rPr>
        <w:t xml:space="preserve">第四条  </w:t>
      </w:r>
      <w:r>
        <w:rPr>
          <w:rFonts w:hint="eastAsia" w:ascii="仿宋_GB2312" w:hAnsi="Times New Roman" w:eastAsia="仿宋_GB2312"/>
          <w:sz w:val="28"/>
          <w:szCs w:val="28"/>
        </w:rPr>
        <w:t>中国勘察设计协会（以下简称“中设协”）负责工业奖评选工作，并组织各有关工业行业勘察设计同业协会或相关机构实施。</w:t>
      </w:r>
    </w:p>
    <w:p>
      <w:pPr>
        <w:pStyle w:val="2"/>
        <w:adjustRightInd w:val="0"/>
        <w:snapToGrid w:val="0"/>
        <w:spacing w:after="0" w:line="520" w:lineRule="exact"/>
        <w:jc w:val="center"/>
        <w:outlineLvl w:val="0"/>
        <w:rPr>
          <w:rFonts w:ascii="黑体" w:hAnsi="黑体" w:eastAsia="黑体" w:cs="黑体"/>
          <w:bCs/>
          <w:color w:val="000000"/>
          <w:sz w:val="28"/>
          <w:szCs w:val="28"/>
        </w:rPr>
      </w:pPr>
      <w:bookmarkStart w:id="3" w:name="_Toc22181"/>
      <w:bookmarkStart w:id="4" w:name="_Hlk98525150"/>
      <w:r>
        <w:rPr>
          <w:rFonts w:hint="eastAsia" w:ascii="黑体" w:hAnsi="黑体" w:eastAsia="黑体" w:cs="黑体"/>
          <w:bCs/>
          <w:color w:val="000000"/>
          <w:sz w:val="28"/>
          <w:szCs w:val="28"/>
        </w:rPr>
        <w:t>第二章  评选范围及</w:t>
      </w:r>
      <w:bookmarkEnd w:id="3"/>
      <w:r>
        <w:rPr>
          <w:rFonts w:hint="eastAsia" w:ascii="黑体" w:hAnsi="黑体" w:eastAsia="黑体" w:cs="黑体"/>
          <w:bCs/>
          <w:color w:val="000000"/>
          <w:sz w:val="28"/>
          <w:szCs w:val="28"/>
        </w:rPr>
        <w:t>数量</w:t>
      </w:r>
    </w:p>
    <w:p>
      <w:pPr>
        <w:adjustRightInd w:val="0"/>
        <w:snapToGrid w:val="0"/>
        <w:spacing w:line="520" w:lineRule="exact"/>
        <w:ind w:firstLine="560" w:firstLineChars="200"/>
        <w:rPr>
          <w:rFonts w:ascii="Times New Roman" w:hAnsi="Times New Roman" w:eastAsia="仿宋_GB2312" w:cs="仿宋_GB2312"/>
          <w:sz w:val="28"/>
          <w:szCs w:val="28"/>
        </w:rPr>
      </w:pPr>
      <w:r>
        <w:rPr>
          <w:rFonts w:hint="eastAsia" w:ascii="黑体" w:hAnsi="黑体" w:eastAsia="黑体"/>
          <w:sz w:val="28"/>
          <w:szCs w:val="28"/>
        </w:rPr>
        <w:t xml:space="preserve">第五条  </w:t>
      </w:r>
      <w:r>
        <w:rPr>
          <w:rFonts w:hint="eastAsia" w:ascii="Times New Roman" w:hAnsi="Times New Roman" w:eastAsia="仿宋_GB2312" w:cs="仿宋_GB2312"/>
          <w:color w:val="000000"/>
          <w:sz w:val="28"/>
          <w:szCs w:val="28"/>
        </w:rPr>
        <w:t>工业奖每届授奖数量实行总量控制，且不超过600项，</w:t>
      </w:r>
      <w:bookmarkStart w:id="16" w:name="_GoBack"/>
      <w:bookmarkEnd w:id="16"/>
      <w:r>
        <w:rPr>
          <w:rFonts w:hint="eastAsia" w:ascii="Times New Roman" w:hAnsi="Times New Roman" w:eastAsia="仿宋_GB2312" w:cs="仿宋_GB2312"/>
          <w:color w:val="000000"/>
          <w:sz w:val="28"/>
          <w:szCs w:val="28"/>
        </w:rPr>
        <w:t>设一、二、三等奖。</w:t>
      </w:r>
      <w:r>
        <w:rPr>
          <w:rFonts w:hint="eastAsia" w:ascii="Times New Roman" w:hAnsi="Times New Roman" w:eastAsia="仿宋_GB2312" w:cs="仿宋_GB2312"/>
          <w:sz w:val="28"/>
          <w:szCs w:val="28"/>
        </w:rPr>
        <w:t>一等奖获奖项目不超过获奖项目总数的20%，二等奖获奖项目不超过获奖项目总数的35%，三等奖获奖项目不超过获奖项目总数的45%。各工业奖获奖数量分配方案及推荐指标由中设协根据各工业行业发展规模和水平等情况研究确定。</w:t>
      </w:r>
    </w:p>
    <w:p>
      <w:pPr>
        <w:adjustRightInd w:val="0"/>
        <w:snapToGrid w:val="0"/>
        <w:spacing w:line="520" w:lineRule="exact"/>
        <w:ind w:firstLine="560" w:firstLineChars="200"/>
        <w:rPr>
          <w:rFonts w:ascii="黑体" w:hAnsi="黑体" w:eastAsia="黑体"/>
          <w:sz w:val="28"/>
          <w:szCs w:val="28"/>
        </w:rPr>
      </w:pPr>
      <w:r>
        <w:rPr>
          <w:rFonts w:hint="eastAsia" w:ascii="黑体" w:hAnsi="黑体" w:eastAsia="黑体"/>
          <w:sz w:val="28"/>
          <w:szCs w:val="28"/>
        </w:rPr>
        <w:t xml:space="preserve">第六条  </w:t>
      </w:r>
      <w:r>
        <w:rPr>
          <w:rFonts w:hint="eastAsia" w:ascii="Times New Roman" w:hAnsi="Times New Roman" w:eastAsia="仿宋_GB2312" w:cs="仿宋_GB2312"/>
          <w:sz w:val="28"/>
          <w:szCs w:val="28"/>
        </w:rPr>
        <w:t>各工业工程设计项目评选范围见附件1。</w:t>
      </w:r>
    </w:p>
    <w:p>
      <w:pPr>
        <w:adjustRightInd w:val="0"/>
        <w:snapToGrid w:val="0"/>
        <w:spacing w:line="520" w:lineRule="exact"/>
        <w:jc w:val="center"/>
        <w:outlineLvl w:val="0"/>
        <w:rPr>
          <w:rFonts w:ascii="黑体" w:hAnsi="黑体" w:eastAsia="黑体" w:cs="黑体"/>
          <w:bCs/>
          <w:color w:val="000000"/>
          <w:sz w:val="28"/>
          <w:szCs w:val="28"/>
        </w:rPr>
      </w:pPr>
      <w:bookmarkStart w:id="5" w:name="_Toc32593"/>
      <w:bookmarkStart w:id="6" w:name="_Toc30200"/>
      <w:r>
        <w:rPr>
          <w:rFonts w:hint="eastAsia" w:ascii="黑体" w:hAnsi="黑体" w:eastAsia="黑体" w:cs="黑体"/>
          <w:bCs/>
          <w:color w:val="000000"/>
          <w:sz w:val="28"/>
          <w:szCs w:val="28"/>
        </w:rPr>
        <w:t>第三章  申报及推荐</w:t>
      </w:r>
      <w:bookmarkEnd w:id="5"/>
      <w:bookmarkEnd w:id="6"/>
    </w:p>
    <w:p>
      <w:pPr>
        <w:adjustRightInd w:val="0"/>
        <w:snapToGrid w:val="0"/>
        <w:spacing w:line="520" w:lineRule="exact"/>
        <w:ind w:firstLine="560" w:firstLineChars="200"/>
        <w:rPr>
          <w:rFonts w:ascii="Times New Roman" w:hAnsi="Times New Roman" w:eastAsia="仿宋_GB2312" w:cs="仿宋_GB2312"/>
          <w:color w:val="000000"/>
          <w:sz w:val="28"/>
          <w:szCs w:val="28"/>
        </w:rPr>
      </w:pPr>
      <w:r>
        <w:rPr>
          <w:rFonts w:hint="eastAsia" w:ascii="黑体" w:hAnsi="黑体" w:eastAsia="黑体" w:cs="黑体"/>
          <w:color w:val="000000"/>
          <w:sz w:val="28"/>
          <w:szCs w:val="28"/>
        </w:rPr>
        <w:t xml:space="preserve">第七条  </w:t>
      </w:r>
      <w:r>
        <w:rPr>
          <w:rFonts w:hint="eastAsia" w:ascii="Times New Roman" w:hAnsi="Times New Roman" w:eastAsia="仿宋_GB2312" w:cs="仿宋_GB2312"/>
          <w:color w:val="000000"/>
          <w:sz w:val="28"/>
          <w:szCs w:val="28"/>
        </w:rPr>
        <w:t>申报要求：</w:t>
      </w:r>
    </w:p>
    <w:p>
      <w:pPr>
        <w:adjustRightInd w:val="0"/>
        <w:snapToGrid w:val="0"/>
        <w:spacing w:line="520" w:lineRule="exact"/>
        <w:ind w:firstLine="560" w:firstLineChars="200"/>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（一）申报项目由申报单位独立完成或为主完成，经竣工验收并交付使用一年以上；</w:t>
      </w:r>
    </w:p>
    <w:p>
      <w:pPr>
        <w:adjustRightInd w:val="0"/>
        <w:snapToGrid w:val="0"/>
        <w:spacing w:line="520" w:lineRule="exact"/>
        <w:ind w:firstLine="560" w:firstLineChars="200"/>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（二）一个项目只能选择一个工业奖类别申报。分期建设的大型工业工程项目，应以合同为准申报。当按整个项目申报后，其子项目不得再另行申报；</w:t>
      </w:r>
    </w:p>
    <w:p>
      <w:pPr>
        <w:adjustRightInd w:val="0"/>
        <w:snapToGrid w:val="0"/>
        <w:spacing w:line="520" w:lineRule="exact"/>
        <w:ind w:firstLine="560" w:firstLineChars="200"/>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（三）经评审列为暂缓评选的申报项目，可参加下一届评选。获奖或落选的申报项目，不得再次申报；</w:t>
      </w:r>
    </w:p>
    <w:p>
      <w:pPr>
        <w:adjustRightInd w:val="0"/>
        <w:snapToGrid w:val="0"/>
        <w:spacing w:line="520" w:lineRule="exact"/>
        <w:ind w:firstLine="560" w:firstLineChars="200"/>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（四）中外合作设计项目须是由中方承担主要的工作量并负责申报，申报时需提交外方同意文件，并注明“中外合作设计”；</w:t>
      </w:r>
    </w:p>
    <w:p>
      <w:pPr>
        <w:adjustRightInd w:val="0"/>
        <w:snapToGrid w:val="0"/>
        <w:spacing w:line="520" w:lineRule="exact"/>
        <w:ind w:firstLine="560" w:firstLineChars="200"/>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（五）在国外（境外）完成的工程勘察设计项目可按国内项目同等条件申报；</w:t>
      </w:r>
    </w:p>
    <w:p>
      <w:pPr>
        <w:adjustRightInd w:val="0"/>
        <w:snapToGrid w:val="0"/>
        <w:spacing w:line="520" w:lineRule="exact"/>
        <w:ind w:firstLine="560" w:firstLineChars="200"/>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（六）申报单位应当遵守国家保密法律法规，申报材料不得涉及保密相关内容；</w:t>
      </w:r>
    </w:p>
    <w:p>
      <w:pPr>
        <w:adjustRightInd w:val="0"/>
        <w:snapToGrid w:val="0"/>
        <w:spacing w:line="520" w:lineRule="exact"/>
        <w:ind w:firstLine="560" w:firstLineChars="200"/>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七）每个工业奖奖项的主要申报人员不得超过20人。申报人员需根据其专业在项目中的贡献大小进行排序，以个人名义参与合作申报的人员需提供个人声明，多个单位参与人员需要提供与主申报单位的合作项目申报声明。</w:t>
      </w:r>
    </w:p>
    <w:p>
      <w:pPr>
        <w:adjustRightInd w:val="0"/>
        <w:snapToGrid w:val="0"/>
        <w:spacing w:line="520" w:lineRule="exact"/>
        <w:ind w:firstLine="560" w:firstLineChars="200"/>
        <w:rPr>
          <w:rFonts w:ascii="Times New Roman" w:hAnsi="Times New Roman" w:eastAsia="仿宋_GB2312" w:cs="仿宋_GB2312"/>
          <w:sz w:val="28"/>
          <w:szCs w:val="28"/>
        </w:rPr>
      </w:pPr>
      <w:r>
        <w:rPr>
          <w:rFonts w:hint="eastAsia" w:ascii="黑体" w:hAnsi="黑体" w:eastAsia="黑体" w:cs="黑体"/>
          <w:color w:val="000000"/>
          <w:sz w:val="28"/>
          <w:szCs w:val="28"/>
        </w:rPr>
        <w:t xml:space="preserve">第八条  </w:t>
      </w:r>
      <w:r>
        <w:rPr>
          <w:rFonts w:ascii="仿宋_GB2312" w:eastAsia="仿宋_GB2312"/>
          <w:color w:val="000000"/>
          <w:sz w:val="28"/>
          <w:szCs w:val="28"/>
        </w:rPr>
        <w:t>各</w:t>
      </w:r>
      <w:r>
        <w:rPr>
          <w:rFonts w:hint="eastAsia" w:ascii="仿宋_GB2312" w:eastAsia="仿宋_GB2312"/>
          <w:color w:val="000000"/>
          <w:sz w:val="28"/>
          <w:szCs w:val="28"/>
        </w:rPr>
        <w:t>工业行业和</w:t>
      </w:r>
      <w:r>
        <w:rPr>
          <w:rFonts w:ascii="仿宋_GB2312" w:eastAsia="仿宋_GB2312"/>
          <w:color w:val="000000"/>
          <w:sz w:val="28"/>
          <w:szCs w:val="28"/>
        </w:rPr>
        <w:t>各省</w:t>
      </w:r>
      <w:r>
        <w:rPr>
          <w:rFonts w:hint="eastAsia" w:ascii="仿宋_GB2312" w:eastAsia="仿宋_GB2312"/>
          <w:color w:val="000000"/>
          <w:sz w:val="28"/>
          <w:szCs w:val="28"/>
        </w:rPr>
        <w:t>（</w:t>
      </w:r>
      <w:r>
        <w:rPr>
          <w:rFonts w:ascii="仿宋_GB2312" w:eastAsia="仿宋_GB2312"/>
          <w:color w:val="000000"/>
          <w:sz w:val="28"/>
          <w:szCs w:val="28"/>
        </w:rPr>
        <w:t>自治区、直辖市</w:t>
      </w:r>
      <w:r>
        <w:rPr>
          <w:rFonts w:hint="eastAsia" w:ascii="仿宋_GB2312" w:eastAsia="仿宋_GB2312"/>
          <w:color w:val="000000"/>
          <w:sz w:val="28"/>
          <w:szCs w:val="28"/>
        </w:rPr>
        <w:t>）</w:t>
      </w:r>
      <w:r>
        <w:rPr>
          <w:rFonts w:ascii="仿宋_GB2312" w:eastAsia="仿宋_GB2312"/>
          <w:color w:val="000000"/>
          <w:sz w:val="28"/>
          <w:szCs w:val="28"/>
        </w:rPr>
        <w:t>勘察设计同业协会</w:t>
      </w:r>
      <w:r>
        <w:rPr>
          <w:rFonts w:hint="eastAsia" w:eastAsia="仿宋_GB2312"/>
          <w:color w:val="000000"/>
          <w:sz w:val="28"/>
          <w:szCs w:val="28"/>
        </w:rPr>
        <w:t>或</w:t>
      </w:r>
      <w:r>
        <w:rPr>
          <w:rFonts w:hint="eastAsia" w:ascii="Times New Roman" w:hAnsi="Times New Roman" w:eastAsia="仿宋_GB2312" w:cs="仿宋_GB2312"/>
          <w:color w:val="000000"/>
          <w:sz w:val="28"/>
          <w:szCs w:val="28"/>
        </w:rPr>
        <w:t>相关机构</w:t>
      </w:r>
      <w:r>
        <w:rPr>
          <w:rFonts w:hint="eastAsia" w:ascii="Times New Roman" w:hAnsi="Times New Roman" w:eastAsia="仿宋_GB2312" w:cs="仿宋_GB2312"/>
          <w:sz w:val="28"/>
          <w:szCs w:val="28"/>
        </w:rPr>
        <w:t>作为推荐单位，负责对本行业、本地区工业奖申报项目进行审查，并组织推荐和申报汇总工作，推荐单位名单见附件2。</w:t>
      </w:r>
    </w:p>
    <w:p>
      <w:pPr>
        <w:adjustRightInd w:val="0"/>
        <w:snapToGrid w:val="0"/>
        <w:spacing w:line="520" w:lineRule="exact"/>
        <w:ind w:firstLine="560" w:firstLineChars="200"/>
        <w:rPr>
          <w:rFonts w:ascii="Times New Roman" w:hAnsi="Times New Roman" w:eastAsia="仿宋_GB2312" w:cs="仿宋_GB2312"/>
          <w:color w:val="000000"/>
          <w:sz w:val="28"/>
          <w:szCs w:val="28"/>
        </w:rPr>
      </w:pPr>
      <w:r>
        <w:rPr>
          <w:rFonts w:hint="eastAsia" w:ascii="黑体" w:hAnsi="黑体" w:eastAsia="黑体" w:cs="黑体"/>
          <w:sz w:val="28"/>
          <w:szCs w:val="28"/>
        </w:rPr>
        <w:t xml:space="preserve">第九条  </w:t>
      </w:r>
      <w:r>
        <w:rPr>
          <w:rFonts w:hint="eastAsia" w:ascii="Times New Roman" w:hAnsi="Times New Roman" w:eastAsia="仿宋_GB2312" w:cs="仿宋_GB2312"/>
          <w:sz w:val="28"/>
          <w:szCs w:val="28"/>
        </w:rPr>
        <w:t>推荐单位和申报单位应按照《评选办法》和“</w:t>
      </w:r>
      <w:r>
        <w:rPr>
          <w:rFonts w:hint="eastAsia" w:ascii="仿宋_GB2312" w:hAnsi="Times New Roman" w:eastAsia="仿宋_GB2312"/>
          <w:color w:val="000000"/>
          <w:sz w:val="28"/>
          <w:szCs w:val="28"/>
        </w:rPr>
        <w:t>工程勘</w:t>
      </w:r>
      <w:r>
        <w:rPr>
          <w:rFonts w:hint="eastAsia" w:ascii="Times New Roman" w:hAnsi="Times New Roman" w:eastAsia="仿宋_GB2312" w:cs="仿宋_GB2312"/>
          <w:color w:val="000000"/>
          <w:sz w:val="28"/>
          <w:szCs w:val="28"/>
        </w:rPr>
        <w:t>察、建筑设计行业和市政公用工程优秀勘察设计奖评选管理信息系统”（以下简称“行业奖评选管理信息系统”）关于各奖项申报材料说明的内容和形式要求，在规定时间内提交加盖公章的推荐函及参评项目电子版相关材料，通过中设协网站“行业奖评选管理信息系统”完成网上申报及推荐。</w:t>
      </w:r>
    </w:p>
    <w:bookmarkEnd w:id="4"/>
    <w:p>
      <w:pPr>
        <w:adjustRightInd w:val="0"/>
        <w:snapToGrid w:val="0"/>
        <w:spacing w:line="520" w:lineRule="exact"/>
        <w:ind w:firstLine="560" w:firstLineChars="200"/>
        <w:jc w:val="center"/>
        <w:outlineLvl w:val="0"/>
        <w:rPr>
          <w:rFonts w:ascii="黑体" w:hAnsi="黑体" w:eastAsia="黑体" w:cs="黑体"/>
          <w:bCs/>
          <w:color w:val="000000"/>
          <w:sz w:val="28"/>
          <w:szCs w:val="28"/>
        </w:rPr>
      </w:pPr>
      <w:bookmarkStart w:id="7" w:name="_Toc20365"/>
      <w:bookmarkStart w:id="8" w:name="_Toc29893"/>
      <w:r>
        <w:rPr>
          <w:rFonts w:hint="eastAsia" w:ascii="黑体" w:hAnsi="黑体" w:eastAsia="黑体" w:cs="黑体"/>
          <w:bCs/>
          <w:color w:val="000000"/>
          <w:sz w:val="28"/>
          <w:szCs w:val="28"/>
        </w:rPr>
        <w:t>第四章  评选条件及标准</w:t>
      </w:r>
      <w:bookmarkEnd w:id="7"/>
    </w:p>
    <w:p>
      <w:pPr>
        <w:pStyle w:val="2"/>
        <w:adjustRightInd w:val="0"/>
        <w:snapToGrid w:val="0"/>
        <w:spacing w:after="0" w:line="520" w:lineRule="exact"/>
        <w:ind w:firstLine="560" w:firstLineChars="200"/>
        <w:rPr>
          <w:rFonts w:ascii="仿宋_GB2312" w:hAnsi="仿宋_GB2312" w:eastAsia="仿宋_GB2312" w:cs="仿宋_GB2312"/>
          <w:sz w:val="28"/>
          <w:szCs w:val="28"/>
        </w:rPr>
      </w:pPr>
      <w:r>
        <w:rPr>
          <w:rFonts w:ascii="黑体" w:hAnsi="黑体" w:eastAsia="黑体" w:cs="黑体"/>
          <w:sz w:val="28"/>
          <w:szCs w:val="28"/>
        </w:rPr>
        <w:t>第</w:t>
      </w:r>
      <w:r>
        <w:rPr>
          <w:rFonts w:hint="eastAsia" w:ascii="黑体" w:hAnsi="黑体" w:eastAsia="黑体" w:cs="黑体"/>
          <w:sz w:val="28"/>
          <w:szCs w:val="28"/>
        </w:rPr>
        <w:t>十</w:t>
      </w:r>
      <w:r>
        <w:rPr>
          <w:rFonts w:ascii="黑体" w:hAnsi="黑体" w:eastAsia="黑体" w:cs="黑体"/>
          <w:sz w:val="28"/>
          <w:szCs w:val="28"/>
        </w:rPr>
        <w:t>条</w:t>
      </w:r>
      <w:r>
        <w:rPr>
          <w:rFonts w:hint="eastAsia" w:ascii="黑体" w:hAnsi="黑体" w:eastAsia="黑体" w:cs="黑体"/>
          <w:sz w:val="28"/>
          <w:szCs w:val="28"/>
        </w:rPr>
        <w:t xml:space="preserve">  </w:t>
      </w:r>
      <w:r>
        <w:rPr>
          <w:rFonts w:hint="eastAsia" w:ascii="仿宋_GB2312" w:hAnsi="仿宋_GB2312" w:eastAsia="仿宋_GB2312" w:cs="仿宋_GB2312"/>
          <w:sz w:val="28"/>
          <w:szCs w:val="28"/>
        </w:rPr>
        <w:t>评选条件：</w:t>
      </w:r>
    </w:p>
    <w:p>
      <w:pPr>
        <w:pStyle w:val="2"/>
        <w:adjustRightInd w:val="0"/>
        <w:snapToGrid w:val="0"/>
        <w:spacing w:after="0"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（一）一等奖项目应达到国内领先水平，并达到国际先进水平，在工程勘察设计技术创新方面有公认的突出贡献</w:t>
      </w:r>
      <w:r>
        <w:rPr>
          <w:rFonts w:hint="eastAsia" w:ascii="Times New Roman" w:hAnsi="Times New Roman" w:eastAsia="仿宋_GB2312" w:cs="仿宋_GB2312"/>
          <w:color w:val="000000"/>
          <w:sz w:val="28"/>
          <w:szCs w:val="28"/>
        </w:rPr>
        <w:t>；</w:t>
      </w:r>
    </w:p>
    <w:p>
      <w:pPr>
        <w:pStyle w:val="2"/>
        <w:adjustRightInd w:val="0"/>
        <w:snapToGrid w:val="0"/>
        <w:spacing w:after="0"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（二）二等奖项目应达到或接近国内领先水平，在工程勘察设计技术创新方面有显著成效</w:t>
      </w:r>
      <w:r>
        <w:rPr>
          <w:rFonts w:hint="eastAsia" w:ascii="Times New Roman" w:hAnsi="Times New Roman" w:eastAsia="仿宋_GB2312" w:cs="仿宋_GB2312"/>
          <w:color w:val="000000"/>
          <w:sz w:val="28"/>
          <w:szCs w:val="28"/>
        </w:rPr>
        <w:t>；</w:t>
      </w:r>
    </w:p>
    <w:p>
      <w:pPr>
        <w:pStyle w:val="2"/>
        <w:adjustRightInd w:val="0"/>
        <w:snapToGrid w:val="0"/>
        <w:spacing w:after="0"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（三）三等奖项目应达到国内先进水平，在工程勘察设计技术创新方面有一定的成效。</w:t>
      </w:r>
    </w:p>
    <w:p>
      <w:pPr>
        <w:pStyle w:val="2"/>
        <w:adjustRightInd w:val="0"/>
        <w:snapToGrid w:val="0"/>
        <w:spacing w:after="0" w:line="520" w:lineRule="exact"/>
        <w:jc w:val="center"/>
        <w:outlineLvl w:val="0"/>
        <w:rPr>
          <w:rFonts w:ascii="黑体" w:hAnsi="黑体" w:eastAsia="黑体" w:cs="黑体"/>
          <w:bCs/>
          <w:color w:val="000000"/>
          <w:sz w:val="28"/>
          <w:szCs w:val="28"/>
        </w:rPr>
      </w:pPr>
      <w:bookmarkStart w:id="9" w:name="_Toc1491"/>
      <w:r>
        <w:rPr>
          <w:rFonts w:hint="eastAsia" w:ascii="黑体" w:hAnsi="黑体" w:eastAsia="黑体" w:cs="黑体"/>
          <w:bCs/>
          <w:color w:val="000000"/>
          <w:sz w:val="28"/>
          <w:szCs w:val="28"/>
        </w:rPr>
        <w:t>第五章  评审机构</w:t>
      </w:r>
      <w:bookmarkEnd w:id="8"/>
      <w:r>
        <w:rPr>
          <w:rFonts w:hint="eastAsia" w:ascii="黑体" w:hAnsi="黑体" w:eastAsia="黑体" w:cs="黑体"/>
          <w:bCs/>
          <w:color w:val="000000"/>
          <w:sz w:val="28"/>
          <w:szCs w:val="28"/>
        </w:rPr>
        <w:t>和程序</w:t>
      </w:r>
      <w:bookmarkEnd w:id="9"/>
    </w:p>
    <w:p>
      <w:pPr>
        <w:adjustRightInd w:val="0"/>
        <w:snapToGrid w:val="0"/>
        <w:spacing w:line="520" w:lineRule="exact"/>
        <w:ind w:firstLine="560" w:firstLineChars="200"/>
        <w:rPr>
          <w:rFonts w:ascii="Times New Roman" w:hAnsi="Times New Roman" w:eastAsia="仿宋_GB2312" w:cs="仿宋_GB2312"/>
          <w:sz w:val="28"/>
          <w:szCs w:val="28"/>
        </w:rPr>
      </w:pPr>
      <w:r>
        <w:rPr>
          <w:rFonts w:hint="eastAsia" w:ascii="黑体" w:hAnsi="黑体" w:eastAsia="黑体" w:cs="黑体"/>
          <w:color w:val="000000"/>
          <w:sz w:val="28"/>
          <w:szCs w:val="28"/>
        </w:rPr>
        <w:t xml:space="preserve">第十一条  </w:t>
      </w:r>
      <w:r>
        <w:rPr>
          <w:rFonts w:hint="eastAsia" w:ascii="Times New Roman" w:hAnsi="Times New Roman" w:eastAsia="仿宋_GB2312" w:cs="仿宋_GB2312"/>
          <w:sz w:val="28"/>
          <w:szCs w:val="28"/>
        </w:rPr>
        <w:t>中设协设立技术专家委员会（工业奖），并按照评选范围下设相应的工业奖评审组，负责本行业的初评工作，并将初评结果报中设协技术专家委员会（工业奖）综评。</w:t>
      </w:r>
    </w:p>
    <w:p>
      <w:pPr>
        <w:adjustRightInd w:val="0"/>
        <w:snapToGrid w:val="0"/>
        <w:spacing w:line="520" w:lineRule="exact"/>
        <w:ind w:firstLine="560" w:firstLineChars="200"/>
        <w:rPr>
          <w:rFonts w:ascii="仿宋_GB2312" w:hAnsi="仿宋_GB2312" w:eastAsia="仿宋_GB2312" w:cs="仿宋_GB2312"/>
          <w:color w:val="000000"/>
          <w:sz w:val="28"/>
          <w:szCs w:val="28"/>
        </w:rPr>
      </w:pPr>
      <w:r>
        <w:rPr>
          <w:rFonts w:hint="eastAsia" w:ascii="黑体" w:hAnsi="黑体" w:eastAsia="黑体" w:cs="黑体"/>
          <w:sz w:val="28"/>
          <w:szCs w:val="28"/>
        </w:rPr>
        <w:t xml:space="preserve">第十二条  </w:t>
      </w:r>
      <w:r>
        <w:rPr>
          <w:rFonts w:hint="eastAsia" w:ascii="Times New Roman" w:hAnsi="Times New Roman" w:eastAsia="仿宋_GB2312" w:cs="仿宋_GB2312"/>
          <w:sz w:val="28"/>
          <w:szCs w:val="28"/>
        </w:rPr>
        <w:t>工业奖各评审组分别设组长１人、副组长１至３人、专家若干人，</w:t>
      </w:r>
      <w:r>
        <w:rPr>
          <w:rFonts w:hint="eastAsia" w:ascii="仿宋_GB2312" w:hAnsi="仿宋_GB2312" w:eastAsia="仿宋_GB2312" w:cs="仿宋_GB2312"/>
          <w:color w:val="000000"/>
          <w:sz w:val="28"/>
          <w:szCs w:val="28"/>
        </w:rPr>
        <w:t>由相应工业行业</w:t>
      </w:r>
      <w:r>
        <w:rPr>
          <w:rFonts w:ascii="仿宋_GB2312" w:eastAsia="仿宋_GB2312"/>
          <w:color w:val="000000"/>
          <w:sz w:val="28"/>
          <w:szCs w:val="28"/>
        </w:rPr>
        <w:t>勘察设计同业</w:t>
      </w:r>
      <w:r>
        <w:rPr>
          <w:rFonts w:hint="eastAsia" w:ascii="仿宋_GB2312" w:hAnsi="仿宋_GB2312" w:eastAsia="仿宋_GB2312" w:cs="仿宋_GB2312"/>
          <w:color w:val="000000"/>
          <w:sz w:val="28"/>
          <w:szCs w:val="28"/>
        </w:rPr>
        <w:t>协会</w:t>
      </w:r>
      <w:r>
        <w:rPr>
          <w:rFonts w:hint="eastAsia" w:ascii="Times New Roman" w:hAnsi="Times New Roman" w:eastAsia="仿宋_GB2312" w:cs="仿宋_GB2312"/>
          <w:sz w:val="28"/>
          <w:szCs w:val="28"/>
        </w:rPr>
        <w:t>或相关机构</w:t>
      </w:r>
      <w:r>
        <w:rPr>
          <w:rFonts w:hint="eastAsia" w:ascii="仿宋_GB2312" w:hAnsi="仿宋_GB2312" w:eastAsia="仿宋_GB2312" w:cs="仿宋_GB2312"/>
          <w:color w:val="000000"/>
          <w:sz w:val="28"/>
          <w:szCs w:val="28"/>
        </w:rPr>
        <w:t>根据评审需要从中设协专家库中抽选，提出推荐名单报中设协批准。</w:t>
      </w:r>
    </w:p>
    <w:p>
      <w:pPr>
        <w:adjustRightInd w:val="0"/>
        <w:snapToGrid w:val="0"/>
        <w:spacing w:line="520" w:lineRule="exact"/>
        <w:ind w:firstLine="560" w:firstLineChars="200"/>
        <w:rPr>
          <w:rFonts w:ascii="Times New Roman" w:hAnsi="Times New Roman" w:eastAsia="黑体" w:cs="仿宋_GB2312"/>
          <w:sz w:val="28"/>
          <w:szCs w:val="28"/>
        </w:rPr>
      </w:pPr>
      <w:r>
        <w:rPr>
          <w:rFonts w:hint="eastAsia" w:ascii="黑体" w:hAnsi="黑体" w:eastAsia="黑体" w:cs="黑体"/>
          <w:sz w:val="28"/>
          <w:szCs w:val="28"/>
        </w:rPr>
        <w:t xml:space="preserve">第十三条  </w:t>
      </w:r>
      <w:r>
        <w:rPr>
          <w:rFonts w:hint="eastAsia" w:ascii="Times New Roman" w:hAnsi="Times New Roman" w:eastAsia="仿宋_GB2312" w:cs="仿宋_GB2312"/>
          <w:sz w:val="28"/>
          <w:szCs w:val="28"/>
        </w:rPr>
        <w:t>工业奖评审程序：</w:t>
      </w:r>
    </w:p>
    <w:p>
      <w:pPr>
        <w:adjustRightInd w:val="0"/>
        <w:snapToGrid w:val="0"/>
        <w:spacing w:line="52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各工业奖评审组负责对申报材料进行形式审查。形式审查合格的申报材料，提交本行业工业奖评审组专家进行初评；形式审查不合格的申报材料，可以要求推荐单位和申报单位在规定的时间内补正，逾期不补正或者经补正仍不合格的，不提交评审组进行初评。</w:t>
      </w:r>
    </w:p>
    <w:p>
      <w:pPr>
        <w:adjustRightInd w:val="0"/>
        <w:snapToGrid w:val="0"/>
        <w:spacing w:line="52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（一）初评。由各工业奖评审组以会议</w:t>
      </w:r>
      <w:r>
        <w:rPr>
          <w:rFonts w:hint="eastAsia" w:eastAsia="仿宋_GB2312" w:cs="仿宋_GB2312"/>
          <w:sz w:val="28"/>
          <w:szCs w:val="28"/>
        </w:rPr>
        <w:t>（或线上会议）方式</w:t>
      </w:r>
      <w:r>
        <w:rPr>
          <w:rFonts w:hint="eastAsia" w:ascii="Times New Roman" w:hAnsi="Times New Roman" w:eastAsia="仿宋_GB2312" w:cs="仿宋_GB2312"/>
          <w:sz w:val="28"/>
          <w:szCs w:val="28"/>
        </w:rPr>
        <w:t>，并</w:t>
      </w:r>
      <w:r>
        <w:rPr>
          <w:rFonts w:hint="eastAsia" w:eastAsia="仿宋_GB2312" w:cs="仿宋_GB2312"/>
          <w:sz w:val="28"/>
          <w:szCs w:val="28"/>
        </w:rPr>
        <w:t>以记名</w:t>
      </w:r>
      <w:r>
        <w:rPr>
          <w:rFonts w:hint="eastAsia" w:ascii="Times New Roman" w:hAnsi="Times New Roman" w:eastAsia="仿宋_GB2312" w:cs="仿宋_GB2312"/>
          <w:sz w:val="28"/>
          <w:szCs w:val="28"/>
        </w:rPr>
        <w:t>打分</w:t>
      </w:r>
      <w:r>
        <w:rPr>
          <w:rFonts w:hint="eastAsia" w:eastAsia="仿宋_GB2312" w:cs="仿宋_GB2312"/>
          <w:sz w:val="28"/>
          <w:szCs w:val="28"/>
        </w:rPr>
        <w:t>方式</w:t>
      </w:r>
      <w:r>
        <w:rPr>
          <w:rFonts w:hint="eastAsia" w:ascii="Times New Roman" w:hAnsi="Times New Roman" w:eastAsia="仿宋_GB2312" w:cs="仿宋_GB2312"/>
          <w:sz w:val="28"/>
          <w:szCs w:val="28"/>
        </w:rPr>
        <w:t>表决产生初评结果。</w:t>
      </w:r>
    </w:p>
    <w:p>
      <w:pPr>
        <w:pStyle w:val="20"/>
        <w:adjustRightInd w:val="0"/>
        <w:snapToGrid w:val="0"/>
        <w:spacing w:line="520" w:lineRule="exact"/>
        <w:ind w:left="0" w:firstLine="560" w:firstLineChars="200"/>
        <w:rPr>
          <w:rFonts w:eastAsia="仿宋_GB2312" w:cs="仿宋_GB2312"/>
          <w:sz w:val="28"/>
          <w:szCs w:val="28"/>
        </w:rPr>
      </w:pPr>
      <w:r>
        <w:rPr>
          <w:rFonts w:hint="eastAsia" w:eastAsia="仿宋_GB2312" w:cs="仿宋_GB2312"/>
          <w:sz w:val="28"/>
          <w:szCs w:val="28"/>
        </w:rPr>
        <w:t>（二）综评。由中设协技术专家委员会（</w:t>
      </w:r>
      <w:r>
        <w:rPr>
          <w:rFonts w:hint="eastAsia" w:eastAsia="仿宋_GB2312" w:cs="仿宋_GB2312"/>
          <w:bCs/>
          <w:sz w:val="28"/>
          <w:szCs w:val="28"/>
        </w:rPr>
        <w:t>工业奖</w:t>
      </w:r>
      <w:r>
        <w:rPr>
          <w:rFonts w:hint="eastAsia" w:eastAsia="仿宋_GB2312" w:cs="仿宋_GB2312"/>
          <w:sz w:val="28"/>
          <w:szCs w:val="28"/>
        </w:rPr>
        <w:t>）以会议（或线上会议）方式，用记名投票方式对各工业奖评审组的初评结果进行表决，提出工业奖获奖项目提名名单。</w:t>
      </w:r>
    </w:p>
    <w:p>
      <w:pPr>
        <w:pStyle w:val="20"/>
        <w:adjustRightInd w:val="0"/>
        <w:snapToGrid w:val="0"/>
        <w:spacing w:line="520" w:lineRule="exact"/>
        <w:ind w:left="0" w:firstLine="560" w:firstLineChars="200"/>
        <w:rPr>
          <w:rFonts w:eastAsia="仿宋_GB2312" w:cs="仿宋_GB2312"/>
          <w:sz w:val="28"/>
          <w:szCs w:val="28"/>
        </w:rPr>
      </w:pPr>
      <w:r>
        <w:rPr>
          <w:rFonts w:hint="eastAsia" w:eastAsia="仿宋_GB2312" w:cs="仿宋_GB2312"/>
          <w:sz w:val="28"/>
          <w:szCs w:val="28"/>
        </w:rPr>
        <w:t>（三）公示。中设协将工业奖获奖项目提名名单在中设协网站公示，公示期为15个工作日。对有异议的项目，由相关工业奖评审组负责人组织复审，并向技术专家委员会提交复审意见和补充说明材料，必要时可组织有关专家到现场核查，由技术专家委员会提出处理意见报奖励委员会。</w:t>
      </w:r>
    </w:p>
    <w:p>
      <w:pPr>
        <w:pStyle w:val="20"/>
        <w:adjustRightInd w:val="0"/>
        <w:snapToGrid w:val="0"/>
        <w:spacing w:line="520" w:lineRule="exact"/>
        <w:ind w:left="0" w:firstLine="560" w:firstLineChars="200"/>
        <w:rPr>
          <w:rFonts w:eastAsia="仿宋_GB2312" w:cs="仿宋_GB2312"/>
          <w:sz w:val="28"/>
          <w:szCs w:val="28"/>
        </w:rPr>
      </w:pPr>
      <w:r>
        <w:rPr>
          <w:rFonts w:hint="eastAsia" w:eastAsia="仿宋_GB2312" w:cs="仿宋_GB2312"/>
          <w:sz w:val="28"/>
          <w:szCs w:val="28"/>
        </w:rPr>
        <w:t>（四）审定。由中设协奖励委员会对工业奖综评结果召开会议（或线上会议方式）进行终审议定。</w:t>
      </w:r>
    </w:p>
    <w:p>
      <w:pPr>
        <w:adjustRightInd w:val="0"/>
        <w:snapToGrid w:val="0"/>
        <w:spacing w:line="52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（五）公布。对审定的工业奖获奖项目，由中设协发文公布。</w:t>
      </w:r>
    </w:p>
    <w:p>
      <w:pPr>
        <w:adjustRightInd w:val="0"/>
        <w:snapToGrid w:val="0"/>
        <w:spacing w:line="520" w:lineRule="exact"/>
        <w:ind w:firstLine="560" w:firstLineChars="200"/>
        <w:outlineLvl w:val="0"/>
        <w:rPr>
          <w:rFonts w:ascii="黑体" w:hAnsi="黑体" w:eastAsia="仿宋_GB2312" w:cs="黑体"/>
          <w:bCs/>
          <w:color w:val="000000"/>
          <w:sz w:val="28"/>
          <w:szCs w:val="28"/>
        </w:rPr>
      </w:pPr>
      <w:bookmarkStart w:id="10" w:name="_Toc7396"/>
      <w:r>
        <w:rPr>
          <w:rFonts w:hint="eastAsia" w:ascii="黑体" w:hAnsi="黑体" w:eastAsia="黑体" w:cs="黑体"/>
          <w:bCs/>
          <w:color w:val="000000"/>
          <w:sz w:val="28"/>
          <w:szCs w:val="28"/>
        </w:rPr>
        <w:t xml:space="preserve">第十四条  </w:t>
      </w:r>
      <w:r>
        <w:rPr>
          <w:rFonts w:hint="eastAsia" w:ascii="Times New Roman" w:hAnsi="Times New Roman" w:eastAsia="仿宋_GB2312" w:cs="仿宋_GB2312"/>
          <w:sz w:val="28"/>
          <w:szCs w:val="28"/>
        </w:rPr>
        <w:t>工业奖评审要严格实行回避制度，评审专家对本单位申报项目和本人参与项目进行回避。</w:t>
      </w:r>
    </w:p>
    <w:p>
      <w:pPr>
        <w:adjustRightInd w:val="0"/>
        <w:snapToGrid w:val="0"/>
        <w:spacing w:line="520" w:lineRule="exact"/>
        <w:jc w:val="center"/>
        <w:outlineLvl w:val="0"/>
        <w:rPr>
          <w:rFonts w:ascii="黑体" w:hAnsi="黑体" w:eastAsia="黑体" w:cs="黑体"/>
          <w:bCs/>
          <w:color w:val="000000"/>
          <w:sz w:val="28"/>
          <w:szCs w:val="28"/>
        </w:rPr>
      </w:pPr>
      <w:r>
        <w:rPr>
          <w:rFonts w:hint="eastAsia" w:ascii="黑体" w:hAnsi="黑体" w:eastAsia="黑体" w:cs="黑体"/>
          <w:bCs/>
          <w:color w:val="000000"/>
          <w:sz w:val="28"/>
          <w:szCs w:val="28"/>
        </w:rPr>
        <w:t>第六章  授  奖</w:t>
      </w:r>
      <w:bookmarkEnd w:id="10"/>
    </w:p>
    <w:p>
      <w:pPr>
        <w:adjustRightInd w:val="0"/>
        <w:snapToGrid w:val="0"/>
        <w:spacing w:line="520" w:lineRule="exact"/>
        <w:ind w:firstLine="560" w:firstLineChars="200"/>
        <w:rPr>
          <w:rFonts w:ascii="Times New Roman" w:hAnsi="Times New Roman" w:eastAsia="仿宋_GB2312" w:cs="仿宋_GB2312"/>
          <w:sz w:val="28"/>
          <w:szCs w:val="28"/>
        </w:rPr>
      </w:pPr>
      <w:r>
        <w:rPr>
          <w:rFonts w:hint="eastAsia" w:ascii="黑体" w:hAnsi="黑体" w:eastAsia="黑体" w:cs="黑体"/>
          <w:sz w:val="28"/>
          <w:szCs w:val="28"/>
        </w:rPr>
        <w:t xml:space="preserve">第十五条  </w:t>
      </w:r>
      <w:r>
        <w:rPr>
          <w:rFonts w:hint="eastAsia" w:ascii="Times New Roman" w:hAnsi="Times New Roman" w:eastAsia="仿宋_GB2312" w:cs="仿宋_GB2312"/>
          <w:sz w:val="28"/>
          <w:szCs w:val="28"/>
        </w:rPr>
        <w:t>中设协按照申报表所填单位名称、申报人员信息及排序进行授奖。</w:t>
      </w:r>
    </w:p>
    <w:p>
      <w:pPr>
        <w:adjustRightInd w:val="0"/>
        <w:snapToGrid w:val="0"/>
        <w:spacing w:line="520" w:lineRule="exact"/>
        <w:ind w:firstLine="560" w:firstLineChars="200"/>
        <w:rPr>
          <w:rFonts w:ascii="Times New Roman" w:hAnsi="Times New Roman" w:eastAsia="仿宋_GB2312" w:cs="仿宋_GB2312"/>
          <w:sz w:val="28"/>
          <w:szCs w:val="28"/>
        </w:rPr>
      </w:pPr>
      <w:r>
        <w:rPr>
          <w:rFonts w:hint="eastAsia" w:ascii="黑体" w:hAnsi="黑体" w:eastAsia="黑体" w:cs="黑体"/>
          <w:sz w:val="28"/>
          <w:szCs w:val="28"/>
        </w:rPr>
        <w:t xml:space="preserve">第十六条 </w:t>
      </w:r>
      <w:r>
        <w:rPr>
          <w:rFonts w:ascii="黑体" w:hAnsi="黑体" w:eastAsia="黑体" w:cs="黑体"/>
          <w:sz w:val="28"/>
          <w:szCs w:val="28"/>
        </w:rPr>
        <w:t xml:space="preserve"> </w:t>
      </w:r>
      <w:r>
        <w:rPr>
          <w:rFonts w:hint="eastAsia" w:ascii="Times New Roman" w:hAnsi="Times New Roman" w:eastAsia="仿宋_GB2312" w:cs="仿宋_GB2312"/>
          <w:sz w:val="28"/>
          <w:szCs w:val="28"/>
        </w:rPr>
        <w:t>对工业奖获奖项目，由中设协向获奖单位颁发单位和个人获奖证书，获奖单位和个人可在“行业奖评选管理信息系统”自行注册登录下载获奖证书。</w:t>
      </w:r>
    </w:p>
    <w:p>
      <w:pPr>
        <w:pStyle w:val="2"/>
        <w:snapToGrid w:val="0"/>
        <w:spacing w:after="0" w:line="520" w:lineRule="exact"/>
        <w:ind w:firstLine="560" w:firstLineChars="200"/>
        <w:rPr>
          <w:rFonts w:ascii="Times New Roman" w:hAnsi="Times New Roman" w:eastAsia="仿宋_GB2312" w:cs="仿宋_GB2312"/>
          <w:sz w:val="28"/>
          <w:szCs w:val="28"/>
        </w:rPr>
      </w:pPr>
      <w:r>
        <w:rPr>
          <w:rFonts w:hint="eastAsia" w:ascii="黑体" w:hAnsi="黑体" w:eastAsia="黑体" w:cs="黑体"/>
          <w:sz w:val="28"/>
          <w:szCs w:val="28"/>
        </w:rPr>
        <w:t xml:space="preserve">第十七条  </w:t>
      </w:r>
      <w:r>
        <w:rPr>
          <w:rFonts w:hint="eastAsia" w:ascii="仿宋_GB2312" w:hAnsi="宋体" w:eastAsia="仿宋_GB2312" w:cs="宋体"/>
          <w:sz w:val="28"/>
          <w:szCs w:val="28"/>
        </w:rPr>
        <w:t>获奖证书自动生成二维码，便于查询及识别真伪。</w:t>
      </w:r>
      <w:bookmarkStart w:id="11" w:name="_Toc6541"/>
    </w:p>
    <w:p>
      <w:pPr>
        <w:adjustRightInd w:val="0"/>
        <w:snapToGrid w:val="0"/>
        <w:spacing w:line="520" w:lineRule="exact"/>
        <w:jc w:val="center"/>
        <w:outlineLvl w:val="0"/>
        <w:rPr>
          <w:rFonts w:ascii="黑体" w:hAnsi="黑体" w:eastAsia="黑体" w:cs="黑体"/>
          <w:bCs/>
          <w:color w:val="000000"/>
          <w:sz w:val="28"/>
          <w:szCs w:val="28"/>
        </w:rPr>
      </w:pPr>
      <w:bookmarkStart w:id="12" w:name="_Toc24884"/>
      <w:r>
        <w:rPr>
          <w:rFonts w:hint="eastAsia" w:ascii="黑体" w:hAnsi="黑体" w:eastAsia="黑体" w:cs="黑体"/>
          <w:bCs/>
          <w:color w:val="000000"/>
          <w:sz w:val="28"/>
          <w:szCs w:val="28"/>
        </w:rPr>
        <w:t xml:space="preserve">第七章  </w:t>
      </w:r>
      <w:bookmarkEnd w:id="11"/>
      <w:r>
        <w:rPr>
          <w:rFonts w:hint="eastAsia" w:ascii="黑体" w:hAnsi="黑体" w:eastAsia="黑体" w:cs="黑体"/>
          <w:bCs/>
          <w:color w:val="000000"/>
          <w:sz w:val="28"/>
          <w:szCs w:val="28"/>
        </w:rPr>
        <w:t>评选</w:t>
      </w:r>
      <w:r>
        <w:rPr>
          <w:rFonts w:eastAsia="黑体"/>
          <w:color w:val="000000"/>
          <w:sz w:val="28"/>
          <w:szCs w:val="28"/>
        </w:rPr>
        <w:t>纪律和监督</w:t>
      </w:r>
      <w:bookmarkEnd w:id="12"/>
    </w:p>
    <w:p>
      <w:pPr>
        <w:adjustRightInd w:val="0"/>
        <w:snapToGrid w:val="0"/>
        <w:spacing w:line="520" w:lineRule="exact"/>
        <w:ind w:firstLine="560" w:firstLineChars="200"/>
        <w:rPr>
          <w:rFonts w:ascii="Times New Roman" w:hAnsi="Times New Roman" w:eastAsia="仿宋_GB2312" w:cs="仿宋_GB2312"/>
          <w:sz w:val="28"/>
          <w:szCs w:val="28"/>
        </w:rPr>
      </w:pPr>
      <w:r>
        <w:rPr>
          <w:rFonts w:hint="eastAsia" w:ascii="黑体" w:hAnsi="黑体" w:eastAsia="黑体" w:cs="黑体"/>
          <w:sz w:val="28"/>
          <w:szCs w:val="28"/>
        </w:rPr>
        <w:t xml:space="preserve">第十八条  </w:t>
      </w:r>
      <w:r>
        <w:rPr>
          <w:rFonts w:hint="eastAsia" w:ascii="Times New Roman" w:hAnsi="Times New Roman" w:eastAsia="仿宋_GB2312" w:cs="仿宋_GB2312"/>
          <w:sz w:val="28"/>
          <w:szCs w:val="28"/>
        </w:rPr>
        <w:t>工业奖评选接受社会的监督，实行异议制度。任何单位或者个人对工业奖候选人、候选单位及其项目持有异议的，应当在工业奖初评结果公示之日起15个工作日内向中设协行业奖评选监察工作小组提出，逾期且无正当理由的，不予受理。</w:t>
      </w:r>
    </w:p>
    <w:p>
      <w:pPr>
        <w:adjustRightInd w:val="0"/>
        <w:snapToGrid w:val="0"/>
        <w:spacing w:line="520" w:lineRule="exact"/>
        <w:ind w:firstLine="560" w:firstLineChars="200"/>
        <w:rPr>
          <w:rFonts w:ascii="Times New Roman" w:hAnsi="Times New Roman" w:eastAsia="仿宋_GB2312" w:cs="仿宋_GB2312"/>
          <w:sz w:val="28"/>
          <w:szCs w:val="28"/>
        </w:rPr>
      </w:pPr>
      <w:r>
        <w:rPr>
          <w:rFonts w:hint="eastAsia" w:ascii="黑体" w:hAnsi="黑体" w:eastAsia="黑体" w:cs="黑体"/>
          <w:sz w:val="28"/>
          <w:szCs w:val="28"/>
        </w:rPr>
        <w:t xml:space="preserve">第十九条  </w:t>
      </w:r>
      <w:r>
        <w:rPr>
          <w:rFonts w:hint="eastAsia" w:ascii="Times New Roman" w:hAnsi="Times New Roman" w:eastAsia="仿宋_GB2312" w:cs="仿宋_GB2312"/>
          <w:sz w:val="28"/>
          <w:szCs w:val="28"/>
        </w:rPr>
        <w:t>提出异议的单位或者个人应当提供书面异议材料，并提供必要的证明文件。以单位名义提出异议的，应当加盖本单位公章，</w:t>
      </w:r>
      <w:r>
        <w:rPr>
          <w:rFonts w:hint="eastAsia" w:ascii="仿宋_GB2312" w:hAnsi="仿宋_GB2312" w:eastAsia="仿宋_GB2312" w:cs="仿宋_GB2312"/>
          <w:sz w:val="28"/>
          <w:szCs w:val="28"/>
        </w:rPr>
        <w:t>并注明联系人和联系方式</w:t>
      </w:r>
      <w:r>
        <w:rPr>
          <w:rFonts w:hint="eastAsia" w:ascii="Times New Roman" w:hAnsi="Times New Roman" w:eastAsia="仿宋_GB2312" w:cs="仿宋_GB2312"/>
          <w:sz w:val="28"/>
          <w:szCs w:val="28"/>
        </w:rPr>
        <w:t>；以个人提出异议的，应当在异议材料上签署真实姓名和联系方式。</w:t>
      </w:r>
    </w:p>
    <w:p>
      <w:pPr>
        <w:adjustRightInd w:val="0"/>
        <w:snapToGrid w:val="0"/>
        <w:spacing w:line="520" w:lineRule="exact"/>
        <w:ind w:firstLine="560" w:firstLineChars="200"/>
        <w:rPr>
          <w:rFonts w:ascii="仿宋_GB2312" w:hAnsi="仿宋_GB2312" w:eastAsia="仿宋_GB2312" w:cs="仿宋"/>
          <w:sz w:val="28"/>
          <w:szCs w:val="28"/>
        </w:rPr>
      </w:pPr>
      <w:r>
        <w:rPr>
          <w:rFonts w:hint="eastAsia" w:ascii="黑体" w:hAnsi="黑体" w:eastAsia="黑体" w:cs="黑体"/>
          <w:sz w:val="28"/>
          <w:szCs w:val="28"/>
        </w:rPr>
        <w:t xml:space="preserve">第二十条 </w:t>
      </w:r>
      <w:r>
        <w:rPr>
          <w:rFonts w:hint="eastAsia" w:ascii="仿宋_GB2312" w:hAnsi="仿宋_GB2312" w:eastAsia="仿宋_GB2312" w:cs="仿宋"/>
          <w:sz w:val="28"/>
          <w:szCs w:val="28"/>
        </w:rPr>
        <w:t xml:space="preserve"> </w:t>
      </w:r>
      <w:r>
        <w:rPr>
          <w:rFonts w:hint="eastAsia" w:ascii="Times New Roman" w:hAnsi="Times New Roman" w:eastAsia="仿宋_GB2312" w:cs="仿宋_GB2312"/>
          <w:sz w:val="28"/>
          <w:szCs w:val="28"/>
        </w:rPr>
        <w:t>项目的完成人和完成单位对评审等级、人员排序的意见不属于异议范围。</w:t>
      </w:r>
    </w:p>
    <w:p>
      <w:pPr>
        <w:adjustRightInd w:val="0"/>
        <w:snapToGrid w:val="0"/>
        <w:spacing w:line="520" w:lineRule="exact"/>
        <w:ind w:firstLine="560" w:firstLineChars="200"/>
        <w:rPr>
          <w:sz w:val="28"/>
          <w:szCs w:val="28"/>
        </w:rPr>
      </w:pPr>
      <w:r>
        <w:rPr>
          <w:rFonts w:hint="eastAsia" w:ascii="黑体" w:hAnsi="黑体" w:eastAsia="黑体" w:cs="黑体"/>
          <w:sz w:val="28"/>
          <w:szCs w:val="28"/>
        </w:rPr>
        <w:t xml:space="preserve">第二十一条  </w:t>
      </w:r>
      <w:r>
        <w:rPr>
          <w:rFonts w:hint="eastAsia" w:ascii="Times New Roman" w:hAnsi="Times New Roman" w:eastAsia="仿宋_GB2312" w:cs="仿宋_GB2312"/>
          <w:sz w:val="28"/>
          <w:szCs w:val="28"/>
        </w:rPr>
        <w:t>中设协行业奖评选监察工作小组接到异议材料后，应当对异议内容进行审查，如果异议内容属实，并能提供充分证据的，应予受理。必要时，可以组织专家进行现场调查，提出处理意见，提请奖励委员会审定，并将决定意见通知异议方和推荐单位、申报单位。</w:t>
      </w:r>
    </w:p>
    <w:p>
      <w:pPr>
        <w:adjustRightInd w:val="0"/>
        <w:snapToGrid w:val="0"/>
        <w:spacing w:line="520" w:lineRule="exact"/>
        <w:jc w:val="center"/>
        <w:outlineLvl w:val="0"/>
        <w:rPr>
          <w:rFonts w:ascii="黑体" w:hAnsi="黑体" w:eastAsia="黑体" w:cs="黑体"/>
          <w:bCs/>
          <w:color w:val="000000"/>
          <w:sz w:val="28"/>
          <w:szCs w:val="28"/>
        </w:rPr>
      </w:pPr>
      <w:bookmarkStart w:id="13" w:name="_Toc4650"/>
      <w:bookmarkStart w:id="14" w:name="_Toc5424"/>
      <w:r>
        <w:rPr>
          <w:rFonts w:hint="eastAsia" w:ascii="黑体" w:hAnsi="黑体" w:eastAsia="黑体" w:cs="黑体"/>
          <w:bCs/>
          <w:color w:val="000000"/>
          <w:sz w:val="28"/>
          <w:szCs w:val="28"/>
        </w:rPr>
        <w:t>第八章  附  则</w:t>
      </w:r>
      <w:bookmarkEnd w:id="13"/>
      <w:bookmarkEnd w:id="14"/>
    </w:p>
    <w:p>
      <w:pPr>
        <w:adjustRightInd w:val="0"/>
        <w:snapToGrid w:val="0"/>
        <w:spacing w:line="520" w:lineRule="exact"/>
        <w:ind w:firstLine="560" w:firstLineChars="200"/>
        <w:rPr>
          <w:rFonts w:ascii="仿宋_GB2312" w:hAnsi="仿宋_GB2312" w:eastAsia="仿宋_GB2312" w:cs="仿宋_GB2312"/>
          <w:sz w:val="28"/>
          <w:szCs w:val="28"/>
        </w:rPr>
      </w:pPr>
      <w:r>
        <w:rPr>
          <w:rFonts w:hint="eastAsia" w:ascii="黑体" w:hAnsi="黑体" w:eastAsia="黑体" w:cs="黑体"/>
          <w:sz w:val="28"/>
          <w:szCs w:val="28"/>
        </w:rPr>
        <w:t xml:space="preserve">第二十二条  </w:t>
      </w:r>
      <w:r>
        <w:rPr>
          <w:rFonts w:hint="eastAsia" w:ascii="仿宋_GB2312" w:hAnsi="宋体" w:eastAsia="仿宋_GB2312" w:cs="宋体"/>
          <w:sz w:val="28"/>
          <w:szCs w:val="28"/>
        </w:rPr>
        <w:t>本细则自发布之日起施行。</w:t>
      </w:r>
    </w:p>
    <w:p>
      <w:pPr>
        <w:adjustRightInd w:val="0"/>
        <w:snapToGrid w:val="0"/>
        <w:spacing w:line="520" w:lineRule="exact"/>
        <w:ind w:firstLine="560" w:firstLineChars="200"/>
        <w:rPr>
          <w:rFonts w:ascii="仿宋_GB2312" w:hAnsi="仿宋_GB2312" w:eastAsia="仿宋_GB2312" w:cs="仿宋_GB2312"/>
          <w:sz w:val="28"/>
          <w:szCs w:val="28"/>
        </w:rPr>
      </w:pPr>
      <w:r>
        <w:rPr>
          <w:rFonts w:hint="eastAsia" w:ascii="黑体" w:hAnsi="黑体" w:eastAsia="黑体" w:cs="黑体"/>
          <w:sz w:val="28"/>
          <w:szCs w:val="28"/>
        </w:rPr>
        <w:t xml:space="preserve">第二十三条  </w:t>
      </w:r>
      <w:r>
        <w:rPr>
          <w:rFonts w:hint="eastAsia" w:ascii="仿宋_GB2312" w:hAnsi="宋体" w:eastAsia="仿宋_GB2312" w:cs="宋体"/>
          <w:sz w:val="28"/>
          <w:szCs w:val="28"/>
        </w:rPr>
        <w:t>本细则由中国勘察设计协会负责解释。</w:t>
      </w:r>
    </w:p>
    <w:p>
      <w:pPr>
        <w:adjustRightInd w:val="0"/>
        <w:snapToGrid w:val="0"/>
        <w:spacing w:line="520" w:lineRule="exact"/>
        <w:ind w:firstLine="560" w:firstLineChars="200"/>
        <w:rPr>
          <w:rFonts w:ascii="仿宋_GB2312" w:hAnsi="仿宋_GB2312" w:eastAsia="仿宋_GB2312" w:cs="仿宋"/>
          <w:sz w:val="28"/>
          <w:szCs w:val="28"/>
        </w:rPr>
      </w:pPr>
    </w:p>
    <w:p>
      <w:pPr>
        <w:pStyle w:val="2"/>
        <w:adjustRightInd w:val="0"/>
        <w:snapToGrid w:val="0"/>
        <w:spacing w:after="0" w:line="520" w:lineRule="exact"/>
        <w:ind w:firstLine="560" w:firstLineChars="200"/>
        <w:outlineLvl w:val="0"/>
        <w:rPr>
          <w:rFonts w:ascii="仿宋_GB2312" w:hAnsi="仿宋_GB2312" w:eastAsia="仿宋_GB2312" w:cs="仿宋"/>
          <w:sz w:val="28"/>
          <w:szCs w:val="28"/>
        </w:rPr>
      </w:pPr>
      <w:bookmarkStart w:id="15" w:name="_Toc30282"/>
      <w:r>
        <w:rPr>
          <w:rFonts w:hint="eastAsia" w:ascii="仿宋_GB2312" w:hAnsi="仿宋_GB2312" w:eastAsia="仿宋_GB2312" w:cs="仿宋"/>
          <w:sz w:val="28"/>
          <w:szCs w:val="28"/>
        </w:rPr>
        <w:t>附件1：各工业</w:t>
      </w:r>
      <w:bookmarkEnd w:id="15"/>
      <w:r>
        <w:rPr>
          <w:rFonts w:hint="eastAsia" w:ascii="仿宋_GB2312" w:hAnsi="仿宋_GB2312" w:eastAsia="仿宋_GB2312" w:cs="仿宋"/>
          <w:sz w:val="28"/>
          <w:szCs w:val="28"/>
        </w:rPr>
        <w:t>工程设计项目评选范围</w:t>
      </w:r>
    </w:p>
    <w:p>
      <w:pPr>
        <w:pStyle w:val="2"/>
        <w:adjustRightInd w:val="0"/>
        <w:snapToGrid w:val="0"/>
        <w:spacing w:after="0" w:line="520" w:lineRule="exact"/>
        <w:ind w:firstLine="560" w:firstLineChars="200"/>
        <w:rPr>
          <w:rFonts w:ascii="仿宋_GB2312" w:hAnsi="仿宋_GB2312" w:eastAsia="仿宋_GB2312" w:cs="仿宋"/>
          <w:sz w:val="28"/>
          <w:szCs w:val="28"/>
        </w:rPr>
      </w:pPr>
      <w:r>
        <w:rPr>
          <w:rFonts w:hint="eastAsia" w:ascii="仿宋_GB2312" w:hAnsi="仿宋_GB2312" w:eastAsia="仿宋_GB2312" w:cs="仿宋"/>
          <w:sz w:val="28"/>
          <w:szCs w:val="28"/>
        </w:rPr>
        <w:t>附件2：推荐单位名单</w:t>
      </w:r>
    </w:p>
    <w:p>
      <w:pPr>
        <w:pStyle w:val="2"/>
        <w:snapToGrid w:val="0"/>
        <w:spacing w:after="0" w:line="520" w:lineRule="exact"/>
        <w:rPr>
          <w:rFonts w:ascii="仿宋_GB2312" w:hAnsi="仿宋_GB2312" w:eastAsia="仿宋_GB2312" w:cs="仿宋"/>
          <w:b/>
          <w:bCs/>
          <w:sz w:val="28"/>
          <w:szCs w:val="28"/>
        </w:rPr>
      </w:pPr>
    </w:p>
    <w:sectPr>
      <w:footerReference r:id="rId3" w:type="default"/>
      <w:type w:val="continuous"/>
      <w:pgSz w:w="11906" w:h="16838"/>
      <w:pgMar w:top="1440" w:right="1800" w:bottom="1440" w:left="1800" w:header="851" w:footer="73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5</w:t>
                          </w:r>
                          <w:r>
                            <w:rPr>
                              <w:rFonts w:hint="eastAsia" w:ascii="宋体" w:hAnsi="宋体" w:eastAsia="宋体" w:cs="宋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rPr>
                        <w:rFonts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5</w:t>
                    </w:r>
                    <w:r>
                      <w:rPr>
                        <w:rFonts w:hint="eastAsia" w:ascii="宋体" w:hAnsi="宋体" w:eastAsia="宋体" w:cs="宋体"/>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HorizontalSpacing w:val="105"/>
  <w:drawingGridVerticalSpacing w:val="156"/>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M1MGM0NjE2ZGQyM2MyNTc3OWUxMTM5MWQ4ZGQyZDEifQ=="/>
  </w:docVars>
  <w:rsids>
    <w:rsidRoot w:val="00FF46B1"/>
    <w:rsid w:val="0000114F"/>
    <w:rsid w:val="000118D3"/>
    <w:rsid w:val="00016D38"/>
    <w:rsid w:val="00023546"/>
    <w:rsid w:val="00026AE8"/>
    <w:rsid w:val="00027A59"/>
    <w:rsid w:val="000353A8"/>
    <w:rsid w:val="00036EEF"/>
    <w:rsid w:val="00042EE7"/>
    <w:rsid w:val="00051374"/>
    <w:rsid w:val="000567BA"/>
    <w:rsid w:val="00057296"/>
    <w:rsid w:val="00060F5C"/>
    <w:rsid w:val="00083304"/>
    <w:rsid w:val="00084897"/>
    <w:rsid w:val="00085DE2"/>
    <w:rsid w:val="0008677A"/>
    <w:rsid w:val="00094B4B"/>
    <w:rsid w:val="0009637A"/>
    <w:rsid w:val="000A5195"/>
    <w:rsid w:val="000A66D9"/>
    <w:rsid w:val="000B102F"/>
    <w:rsid w:val="000B4AA6"/>
    <w:rsid w:val="000C4FEF"/>
    <w:rsid w:val="000C77AD"/>
    <w:rsid w:val="000E2144"/>
    <w:rsid w:val="000E5265"/>
    <w:rsid w:val="000F141E"/>
    <w:rsid w:val="000F17BE"/>
    <w:rsid w:val="00105728"/>
    <w:rsid w:val="001061F1"/>
    <w:rsid w:val="00107581"/>
    <w:rsid w:val="00112ACF"/>
    <w:rsid w:val="00112E5C"/>
    <w:rsid w:val="00116DDD"/>
    <w:rsid w:val="00125457"/>
    <w:rsid w:val="00126239"/>
    <w:rsid w:val="00127363"/>
    <w:rsid w:val="001323FC"/>
    <w:rsid w:val="00132628"/>
    <w:rsid w:val="00135677"/>
    <w:rsid w:val="00137735"/>
    <w:rsid w:val="00142A41"/>
    <w:rsid w:val="0014440E"/>
    <w:rsid w:val="00152A60"/>
    <w:rsid w:val="0015568F"/>
    <w:rsid w:val="00165FDC"/>
    <w:rsid w:val="001701AA"/>
    <w:rsid w:val="00171981"/>
    <w:rsid w:val="00171F7D"/>
    <w:rsid w:val="00172B90"/>
    <w:rsid w:val="00181787"/>
    <w:rsid w:val="00182106"/>
    <w:rsid w:val="001A6760"/>
    <w:rsid w:val="001B13B4"/>
    <w:rsid w:val="001C50C8"/>
    <w:rsid w:val="001D4895"/>
    <w:rsid w:val="001D56B0"/>
    <w:rsid w:val="001D6A55"/>
    <w:rsid w:val="001D76D2"/>
    <w:rsid w:val="001D7B25"/>
    <w:rsid w:val="001E163B"/>
    <w:rsid w:val="001E3918"/>
    <w:rsid w:val="001E4D47"/>
    <w:rsid w:val="001F2937"/>
    <w:rsid w:val="001F2A0E"/>
    <w:rsid w:val="0020701F"/>
    <w:rsid w:val="002076CF"/>
    <w:rsid w:val="00212628"/>
    <w:rsid w:val="00213D20"/>
    <w:rsid w:val="00213FA1"/>
    <w:rsid w:val="00214505"/>
    <w:rsid w:val="00215100"/>
    <w:rsid w:val="00225433"/>
    <w:rsid w:val="00226766"/>
    <w:rsid w:val="00230B2B"/>
    <w:rsid w:val="002310DC"/>
    <w:rsid w:val="00234C18"/>
    <w:rsid w:val="00235068"/>
    <w:rsid w:val="00235775"/>
    <w:rsid w:val="002357CC"/>
    <w:rsid w:val="002542C9"/>
    <w:rsid w:val="00257F3E"/>
    <w:rsid w:val="00262258"/>
    <w:rsid w:val="0026334C"/>
    <w:rsid w:val="0026492B"/>
    <w:rsid w:val="002669A5"/>
    <w:rsid w:val="002707DB"/>
    <w:rsid w:val="00271084"/>
    <w:rsid w:val="00273808"/>
    <w:rsid w:val="00277500"/>
    <w:rsid w:val="002842E8"/>
    <w:rsid w:val="002A0AE9"/>
    <w:rsid w:val="002A7BE3"/>
    <w:rsid w:val="002B0320"/>
    <w:rsid w:val="002B211B"/>
    <w:rsid w:val="002B5C6E"/>
    <w:rsid w:val="002C2AD9"/>
    <w:rsid w:val="002C37E1"/>
    <w:rsid w:val="002C48BE"/>
    <w:rsid w:val="002D18B3"/>
    <w:rsid w:val="002D3F39"/>
    <w:rsid w:val="002E1C63"/>
    <w:rsid w:val="002E39A2"/>
    <w:rsid w:val="002E60CA"/>
    <w:rsid w:val="002F5313"/>
    <w:rsid w:val="002F7DBC"/>
    <w:rsid w:val="00303D8F"/>
    <w:rsid w:val="00306C42"/>
    <w:rsid w:val="00307D8D"/>
    <w:rsid w:val="00313E61"/>
    <w:rsid w:val="00315BAE"/>
    <w:rsid w:val="0031776F"/>
    <w:rsid w:val="00322C26"/>
    <w:rsid w:val="00322D83"/>
    <w:rsid w:val="0033629A"/>
    <w:rsid w:val="00344EDD"/>
    <w:rsid w:val="00346836"/>
    <w:rsid w:val="00350381"/>
    <w:rsid w:val="0035306E"/>
    <w:rsid w:val="0036014E"/>
    <w:rsid w:val="00360707"/>
    <w:rsid w:val="00362EC2"/>
    <w:rsid w:val="00367E60"/>
    <w:rsid w:val="00370A67"/>
    <w:rsid w:val="003778D7"/>
    <w:rsid w:val="00380FCD"/>
    <w:rsid w:val="00396D49"/>
    <w:rsid w:val="003A1242"/>
    <w:rsid w:val="003A15EB"/>
    <w:rsid w:val="003A2F03"/>
    <w:rsid w:val="003B0F60"/>
    <w:rsid w:val="003B1701"/>
    <w:rsid w:val="003C4913"/>
    <w:rsid w:val="003D68FB"/>
    <w:rsid w:val="003E38B7"/>
    <w:rsid w:val="003F0D51"/>
    <w:rsid w:val="003F6304"/>
    <w:rsid w:val="003F71F9"/>
    <w:rsid w:val="0040481B"/>
    <w:rsid w:val="00407C18"/>
    <w:rsid w:val="00411BBA"/>
    <w:rsid w:val="00411E9E"/>
    <w:rsid w:val="00421DB7"/>
    <w:rsid w:val="004226F6"/>
    <w:rsid w:val="00422DA7"/>
    <w:rsid w:val="0042356D"/>
    <w:rsid w:val="004245FC"/>
    <w:rsid w:val="00424FFF"/>
    <w:rsid w:val="00433B79"/>
    <w:rsid w:val="00441FCF"/>
    <w:rsid w:val="00447542"/>
    <w:rsid w:val="00456056"/>
    <w:rsid w:val="00461E80"/>
    <w:rsid w:val="00466292"/>
    <w:rsid w:val="00467DFC"/>
    <w:rsid w:val="0047454F"/>
    <w:rsid w:val="00477A79"/>
    <w:rsid w:val="00477DB9"/>
    <w:rsid w:val="00484876"/>
    <w:rsid w:val="00497008"/>
    <w:rsid w:val="004A0B03"/>
    <w:rsid w:val="004A1FDE"/>
    <w:rsid w:val="004A4A41"/>
    <w:rsid w:val="004B6009"/>
    <w:rsid w:val="004C19A4"/>
    <w:rsid w:val="004C1BC1"/>
    <w:rsid w:val="004C3DB6"/>
    <w:rsid w:val="004C6D0E"/>
    <w:rsid w:val="004C71A9"/>
    <w:rsid w:val="004E3D52"/>
    <w:rsid w:val="004E4017"/>
    <w:rsid w:val="004E4593"/>
    <w:rsid w:val="004E5310"/>
    <w:rsid w:val="004E683A"/>
    <w:rsid w:val="004F3210"/>
    <w:rsid w:val="00502A20"/>
    <w:rsid w:val="005037D8"/>
    <w:rsid w:val="005038EB"/>
    <w:rsid w:val="005111C7"/>
    <w:rsid w:val="00511C83"/>
    <w:rsid w:val="00521C7A"/>
    <w:rsid w:val="005274DB"/>
    <w:rsid w:val="005276A9"/>
    <w:rsid w:val="00534E6E"/>
    <w:rsid w:val="00555380"/>
    <w:rsid w:val="00562B77"/>
    <w:rsid w:val="00563476"/>
    <w:rsid w:val="00577AEF"/>
    <w:rsid w:val="00581D6D"/>
    <w:rsid w:val="00584FB9"/>
    <w:rsid w:val="005914B4"/>
    <w:rsid w:val="0059712B"/>
    <w:rsid w:val="005B1E12"/>
    <w:rsid w:val="005C7348"/>
    <w:rsid w:val="005D3807"/>
    <w:rsid w:val="005D75B8"/>
    <w:rsid w:val="005D7A18"/>
    <w:rsid w:val="005E2E4D"/>
    <w:rsid w:val="005E4AE5"/>
    <w:rsid w:val="005E5B4D"/>
    <w:rsid w:val="0060413D"/>
    <w:rsid w:val="00622725"/>
    <w:rsid w:val="006234CB"/>
    <w:rsid w:val="00624CBF"/>
    <w:rsid w:val="006251C8"/>
    <w:rsid w:val="00625B65"/>
    <w:rsid w:val="00632303"/>
    <w:rsid w:val="00634BB9"/>
    <w:rsid w:val="00647605"/>
    <w:rsid w:val="00651038"/>
    <w:rsid w:val="00651561"/>
    <w:rsid w:val="00660D58"/>
    <w:rsid w:val="0066518E"/>
    <w:rsid w:val="00670175"/>
    <w:rsid w:val="00671ED4"/>
    <w:rsid w:val="00683C84"/>
    <w:rsid w:val="00683CF2"/>
    <w:rsid w:val="0068530C"/>
    <w:rsid w:val="006867B9"/>
    <w:rsid w:val="006934AA"/>
    <w:rsid w:val="00694207"/>
    <w:rsid w:val="00696EF1"/>
    <w:rsid w:val="006975DE"/>
    <w:rsid w:val="006A0D6F"/>
    <w:rsid w:val="006A28B2"/>
    <w:rsid w:val="006B0F9C"/>
    <w:rsid w:val="006B441E"/>
    <w:rsid w:val="006B4EB6"/>
    <w:rsid w:val="006B54E7"/>
    <w:rsid w:val="006E03B4"/>
    <w:rsid w:val="006E3EBC"/>
    <w:rsid w:val="006E5B5B"/>
    <w:rsid w:val="006E7B4B"/>
    <w:rsid w:val="00700512"/>
    <w:rsid w:val="00701456"/>
    <w:rsid w:val="00702328"/>
    <w:rsid w:val="0072136D"/>
    <w:rsid w:val="00724ECA"/>
    <w:rsid w:val="00726965"/>
    <w:rsid w:val="00727C4A"/>
    <w:rsid w:val="00730155"/>
    <w:rsid w:val="007317C5"/>
    <w:rsid w:val="00735A4A"/>
    <w:rsid w:val="00740E0E"/>
    <w:rsid w:val="00742893"/>
    <w:rsid w:val="007476E5"/>
    <w:rsid w:val="00753605"/>
    <w:rsid w:val="0075606F"/>
    <w:rsid w:val="00761063"/>
    <w:rsid w:val="007640AE"/>
    <w:rsid w:val="00765269"/>
    <w:rsid w:val="00772B16"/>
    <w:rsid w:val="0077479E"/>
    <w:rsid w:val="007768AE"/>
    <w:rsid w:val="0078669A"/>
    <w:rsid w:val="00794C36"/>
    <w:rsid w:val="00797A4B"/>
    <w:rsid w:val="007A07B9"/>
    <w:rsid w:val="007B553B"/>
    <w:rsid w:val="007C145E"/>
    <w:rsid w:val="007D2AD0"/>
    <w:rsid w:val="007D4A07"/>
    <w:rsid w:val="007D5A43"/>
    <w:rsid w:val="007E0623"/>
    <w:rsid w:val="007E2D2C"/>
    <w:rsid w:val="007E677D"/>
    <w:rsid w:val="007E6A1B"/>
    <w:rsid w:val="007F6620"/>
    <w:rsid w:val="00802F73"/>
    <w:rsid w:val="00813C7F"/>
    <w:rsid w:val="00816394"/>
    <w:rsid w:val="00816979"/>
    <w:rsid w:val="00817B6C"/>
    <w:rsid w:val="00822AB8"/>
    <w:rsid w:val="00826B1C"/>
    <w:rsid w:val="008346D4"/>
    <w:rsid w:val="008462A0"/>
    <w:rsid w:val="00850682"/>
    <w:rsid w:val="008542A5"/>
    <w:rsid w:val="008612C3"/>
    <w:rsid w:val="00873102"/>
    <w:rsid w:val="00875DD1"/>
    <w:rsid w:val="00876479"/>
    <w:rsid w:val="008873FE"/>
    <w:rsid w:val="008A143A"/>
    <w:rsid w:val="008A19D5"/>
    <w:rsid w:val="008A1D39"/>
    <w:rsid w:val="008A2CDC"/>
    <w:rsid w:val="008A36EF"/>
    <w:rsid w:val="008A6346"/>
    <w:rsid w:val="008B20F2"/>
    <w:rsid w:val="008D1771"/>
    <w:rsid w:val="008D2292"/>
    <w:rsid w:val="008D588F"/>
    <w:rsid w:val="008D78E6"/>
    <w:rsid w:val="008E1592"/>
    <w:rsid w:val="008E3D1D"/>
    <w:rsid w:val="008F0A55"/>
    <w:rsid w:val="008F17E2"/>
    <w:rsid w:val="008F2047"/>
    <w:rsid w:val="008F6057"/>
    <w:rsid w:val="008F7D41"/>
    <w:rsid w:val="0090060D"/>
    <w:rsid w:val="00905A71"/>
    <w:rsid w:val="00910F3E"/>
    <w:rsid w:val="00913E76"/>
    <w:rsid w:val="00917C8C"/>
    <w:rsid w:val="009243F1"/>
    <w:rsid w:val="00925611"/>
    <w:rsid w:val="009344BD"/>
    <w:rsid w:val="00941A12"/>
    <w:rsid w:val="009476A1"/>
    <w:rsid w:val="00951BD1"/>
    <w:rsid w:val="0095245D"/>
    <w:rsid w:val="009574AB"/>
    <w:rsid w:val="00960AD9"/>
    <w:rsid w:val="0096167C"/>
    <w:rsid w:val="00970AD1"/>
    <w:rsid w:val="00980174"/>
    <w:rsid w:val="009802CF"/>
    <w:rsid w:val="0098582D"/>
    <w:rsid w:val="00990CD8"/>
    <w:rsid w:val="0099173B"/>
    <w:rsid w:val="009964AB"/>
    <w:rsid w:val="009A162D"/>
    <w:rsid w:val="009A2161"/>
    <w:rsid w:val="009A306F"/>
    <w:rsid w:val="009B2E13"/>
    <w:rsid w:val="009B31A8"/>
    <w:rsid w:val="009B6184"/>
    <w:rsid w:val="009B79F5"/>
    <w:rsid w:val="009C13E9"/>
    <w:rsid w:val="009C1878"/>
    <w:rsid w:val="009C2B3E"/>
    <w:rsid w:val="009C3359"/>
    <w:rsid w:val="009D3113"/>
    <w:rsid w:val="009D6F0B"/>
    <w:rsid w:val="009E1A25"/>
    <w:rsid w:val="009E2A21"/>
    <w:rsid w:val="009E35DF"/>
    <w:rsid w:val="009E3AF3"/>
    <w:rsid w:val="009E655B"/>
    <w:rsid w:val="009F1D63"/>
    <w:rsid w:val="00A00043"/>
    <w:rsid w:val="00A04D7A"/>
    <w:rsid w:val="00A04EBA"/>
    <w:rsid w:val="00A065E4"/>
    <w:rsid w:val="00A06E9F"/>
    <w:rsid w:val="00A1298A"/>
    <w:rsid w:val="00A1392C"/>
    <w:rsid w:val="00A2365A"/>
    <w:rsid w:val="00A2649D"/>
    <w:rsid w:val="00A33A68"/>
    <w:rsid w:val="00A342D9"/>
    <w:rsid w:val="00A46431"/>
    <w:rsid w:val="00A60B4E"/>
    <w:rsid w:val="00A61538"/>
    <w:rsid w:val="00A707C7"/>
    <w:rsid w:val="00A71F84"/>
    <w:rsid w:val="00A730FE"/>
    <w:rsid w:val="00A75C88"/>
    <w:rsid w:val="00A8180D"/>
    <w:rsid w:val="00A8434E"/>
    <w:rsid w:val="00A8659E"/>
    <w:rsid w:val="00A86D35"/>
    <w:rsid w:val="00A92D21"/>
    <w:rsid w:val="00A92FB2"/>
    <w:rsid w:val="00AA5EEE"/>
    <w:rsid w:val="00AA62A6"/>
    <w:rsid w:val="00AB19C9"/>
    <w:rsid w:val="00AC12EF"/>
    <w:rsid w:val="00AC3346"/>
    <w:rsid w:val="00AC3770"/>
    <w:rsid w:val="00AD41AA"/>
    <w:rsid w:val="00AD41E0"/>
    <w:rsid w:val="00AD505C"/>
    <w:rsid w:val="00AD5928"/>
    <w:rsid w:val="00AE4D65"/>
    <w:rsid w:val="00AE5654"/>
    <w:rsid w:val="00AF248F"/>
    <w:rsid w:val="00AF2746"/>
    <w:rsid w:val="00AF31C8"/>
    <w:rsid w:val="00AF5F8A"/>
    <w:rsid w:val="00B00904"/>
    <w:rsid w:val="00B11820"/>
    <w:rsid w:val="00B12427"/>
    <w:rsid w:val="00B1382A"/>
    <w:rsid w:val="00B207CD"/>
    <w:rsid w:val="00B22888"/>
    <w:rsid w:val="00B22B61"/>
    <w:rsid w:val="00B26797"/>
    <w:rsid w:val="00B31A5D"/>
    <w:rsid w:val="00B36297"/>
    <w:rsid w:val="00B45552"/>
    <w:rsid w:val="00B477F2"/>
    <w:rsid w:val="00B50633"/>
    <w:rsid w:val="00B539E6"/>
    <w:rsid w:val="00B55C21"/>
    <w:rsid w:val="00B619A5"/>
    <w:rsid w:val="00B62612"/>
    <w:rsid w:val="00B6433F"/>
    <w:rsid w:val="00B64601"/>
    <w:rsid w:val="00B67684"/>
    <w:rsid w:val="00B73724"/>
    <w:rsid w:val="00B74B04"/>
    <w:rsid w:val="00B77F92"/>
    <w:rsid w:val="00B804C5"/>
    <w:rsid w:val="00B903CD"/>
    <w:rsid w:val="00B975B8"/>
    <w:rsid w:val="00BA2992"/>
    <w:rsid w:val="00BA5A43"/>
    <w:rsid w:val="00BB1F51"/>
    <w:rsid w:val="00BB31FC"/>
    <w:rsid w:val="00BB76C7"/>
    <w:rsid w:val="00BC4B98"/>
    <w:rsid w:val="00BD19B5"/>
    <w:rsid w:val="00BD2AA9"/>
    <w:rsid w:val="00BD3EEC"/>
    <w:rsid w:val="00BD6992"/>
    <w:rsid w:val="00BD7C4E"/>
    <w:rsid w:val="00BE145F"/>
    <w:rsid w:val="00BE1835"/>
    <w:rsid w:val="00BE2827"/>
    <w:rsid w:val="00BE68C0"/>
    <w:rsid w:val="00BE6F1B"/>
    <w:rsid w:val="00BE7805"/>
    <w:rsid w:val="00BF6970"/>
    <w:rsid w:val="00C0096A"/>
    <w:rsid w:val="00C01156"/>
    <w:rsid w:val="00C0278C"/>
    <w:rsid w:val="00C0526C"/>
    <w:rsid w:val="00C05ED2"/>
    <w:rsid w:val="00C10700"/>
    <w:rsid w:val="00C1381B"/>
    <w:rsid w:val="00C1751B"/>
    <w:rsid w:val="00C217D5"/>
    <w:rsid w:val="00C3192B"/>
    <w:rsid w:val="00C338F8"/>
    <w:rsid w:val="00C34EF2"/>
    <w:rsid w:val="00C364EA"/>
    <w:rsid w:val="00C366BD"/>
    <w:rsid w:val="00C44074"/>
    <w:rsid w:val="00C4419A"/>
    <w:rsid w:val="00C505A1"/>
    <w:rsid w:val="00C60CB1"/>
    <w:rsid w:val="00C6132C"/>
    <w:rsid w:val="00C74456"/>
    <w:rsid w:val="00C82060"/>
    <w:rsid w:val="00C833AF"/>
    <w:rsid w:val="00C842F7"/>
    <w:rsid w:val="00C9244F"/>
    <w:rsid w:val="00C92523"/>
    <w:rsid w:val="00C96BEE"/>
    <w:rsid w:val="00C96D33"/>
    <w:rsid w:val="00C970C9"/>
    <w:rsid w:val="00C9713B"/>
    <w:rsid w:val="00C97944"/>
    <w:rsid w:val="00CA36CA"/>
    <w:rsid w:val="00CA59BD"/>
    <w:rsid w:val="00CA6BDD"/>
    <w:rsid w:val="00CA7ADF"/>
    <w:rsid w:val="00CB12EF"/>
    <w:rsid w:val="00CC0CDE"/>
    <w:rsid w:val="00CC4E0D"/>
    <w:rsid w:val="00CD35B2"/>
    <w:rsid w:val="00CE29DD"/>
    <w:rsid w:val="00CE699C"/>
    <w:rsid w:val="00D01EBB"/>
    <w:rsid w:val="00D04CCB"/>
    <w:rsid w:val="00D076D6"/>
    <w:rsid w:val="00D221A9"/>
    <w:rsid w:val="00D25C9B"/>
    <w:rsid w:val="00D27CAF"/>
    <w:rsid w:val="00D33C43"/>
    <w:rsid w:val="00D36441"/>
    <w:rsid w:val="00D41764"/>
    <w:rsid w:val="00D434FA"/>
    <w:rsid w:val="00D44F3E"/>
    <w:rsid w:val="00D455B9"/>
    <w:rsid w:val="00D470D9"/>
    <w:rsid w:val="00D50F59"/>
    <w:rsid w:val="00D55BAF"/>
    <w:rsid w:val="00D73B81"/>
    <w:rsid w:val="00D80B8B"/>
    <w:rsid w:val="00D930DE"/>
    <w:rsid w:val="00D949B9"/>
    <w:rsid w:val="00D9779A"/>
    <w:rsid w:val="00DA15E6"/>
    <w:rsid w:val="00DA2E37"/>
    <w:rsid w:val="00DB632E"/>
    <w:rsid w:val="00DC1578"/>
    <w:rsid w:val="00DC50A9"/>
    <w:rsid w:val="00DD612D"/>
    <w:rsid w:val="00DD6455"/>
    <w:rsid w:val="00DD66EC"/>
    <w:rsid w:val="00DE6289"/>
    <w:rsid w:val="00DF1026"/>
    <w:rsid w:val="00DF4B3D"/>
    <w:rsid w:val="00E00328"/>
    <w:rsid w:val="00E0222A"/>
    <w:rsid w:val="00E03686"/>
    <w:rsid w:val="00E112E7"/>
    <w:rsid w:val="00E13003"/>
    <w:rsid w:val="00E14B93"/>
    <w:rsid w:val="00E15B9D"/>
    <w:rsid w:val="00E246EA"/>
    <w:rsid w:val="00E34A37"/>
    <w:rsid w:val="00E36EAA"/>
    <w:rsid w:val="00E44DCC"/>
    <w:rsid w:val="00E616B6"/>
    <w:rsid w:val="00E65B33"/>
    <w:rsid w:val="00E947AE"/>
    <w:rsid w:val="00E96054"/>
    <w:rsid w:val="00EA5BAA"/>
    <w:rsid w:val="00EB4361"/>
    <w:rsid w:val="00EB6CCD"/>
    <w:rsid w:val="00EC1104"/>
    <w:rsid w:val="00ED5EF1"/>
    <w:rsid w:val="00EE0C3B"/>
    <w:rsid w:val="00EE4D02"/>
    <w:rsid w:val="00EF19AF"/>
    <w:rsid w:val="00F07C59"/>
    <w:rsid w:val="00F105F3"/>
    <w:rsid w:val="00F16544"/>
    <w:rsid w:val="00F234E5"/>
    <w:rsid w:val="00F31DEF"/>
    <w:rsid w:val="00F3452B"/>
    <w:rsid w:val="00F34A83"/>
    <w:rsid w:val="00F35C7E"/>
    <w:rsid w:val="00F3772D"/>
    <w:rsid w:val="00F41CDE"/>
    <w:rsid w:val="00F45567"/>
    <w:rsid w:val="00F47B0B"/>
    <w:rsid w:val="00F47B61"/>
    <w:rsid w:val="00F669CA"/>
    <w:rsid w:val="00F72632"/>
    <w:rsid w:val="00F75C33"/>
    <w:rsid w:val="00F7725B"/>
    <w:rsid w:val="00F83F6B"/>
    <w:rsid w:val="00F85D06"/>
    <w:rsid w:val="00F956B6"/>
    <w:rsid w:val="00FA3A70"/>
    <w:rsid w:val="00FA4B48"/>
    <w:rsid w:val="00FC2E3A"/>
    <w:rsid w:val="00FC5FB5"/>
    <w:rsid w:val="00FC7943"/>
    <w:rsid w:val="00FD0C88"/>
    <w:rsid w:val="00FD4A12"/>
    <w:rsid w:val="00FD65B5"/>
    <w:rsid w:val="00FE319E"/>
    <w:rsid w:val="00FF035F"/>
    <w:rsid w:val="00FF04F3"/>
    <w:rsid w:val="00FF0FFD"/>
    <w:rsid w:val="00FF1B3A"/>
    <w:rsid w:val="00FF4079"/>
    <w:rsid w:val="00FF46B1"/>
    <w:rsid w:val="00FF4849"/>
    <w:rsid w:val="01430AF4"/>
    <w:rsid w:val="01543B3C"/>
    <w:rsid w:val="01680DD7"/>
    <w:rsid w:val="01A51CC4"/>
    <w:rsid w:val="029A54A6"/>
    <w:rsid w:val="02A35849"/>
    <w:rsid w:val="03216D64"/>
    <w:rsid w:val="03313951"/>
    <w:rsid w:val="039F00BB"/>
    <w:rsid w:val="03A544C2"/>
    <w:rsid w:val="040D5E06"/>
    <w:rsid w:val="04A00E20"/>
    <w:rsid w:val="04A03E1A"/>
    <w:rsid w:val="04D42269"/>
    <w:rsid w:val="06241395"/>
    <w:rsid w:val="06657A4F"/>
    <w:rsid w:val="06936B37"/>
    <w:rsid w:val="069534A5"/>
    <w:rsid w:val="06F62098"/>
    <w:rsid w:val="07A354B8"/>
    <w:rsid w:val="080452AC"/>
    <w:rsid w:val="093908F0"/>
    <w:rsid w:val="097C0B7C"/>
    <w:rsid w:val="09AF5519"/>
    <w:rsid w:val="09FB6D25"/>
    <w:rsid w:val="0A432FF4"/>
    <w:rsid w:val="0A7B3CC3"/>
    <w:rsid w:val="0B014F35"/>
    <w:rsid w:val="0B4E5185"/>
    <w:rsid w:val="0BA04A97"/>
    <w:rsid w:val="0C9C2B17"/>
    <w:rsid w:val="0C9E5888"/>
    <w:rsid w:val="0CF12835"/>
    <w:rsid w:val="0D3D5CC9"/>
    <w:rsid w:val="0E85443A"/>
    <w:rsid w:val="0EFE627E"/>
    <w:rsid w:val="0F8E32E8"/>
    <w:rsid w:val="0FB43E71"/>
    <w:rsid w:val="0FE34D71"/>
    <w:rsid w:val="102B5378"/>
    <w:rsid w:val="115C2342"/>
    <w:rsid w:val="120B2764"/>
    <w:rsid w:val="12A811B5"/>
    <w:rsid w:val="12F83B89"/>
    <w:rsid w:val="1304776F"/>
    <w:rsid w:val="131D4879"/>
    <w:rsid w:val="134F6C28"/>
    <w:rsid w:val="135010FC"/>
    <w:rsid w:val="144374F5"/>
    <w:rsid w:val="14A23CBB"/>
    <w:rsid w:val="150F56E5"/>
    <w:rsid w:val="16A50973"/>
    <w:rsid w:val="175F238D"/>
    <w:rsid w:val="178A02F5"/>
    <w:rsid w:val="18493333"/>
    <w:rsid w:val="18824D33"/>
    <w:rsid w:val="18E30D15"/>
    <w:rsid w:val="1927642F"/>
    <w:rsid w:val="19EE384B"/>
    <w:rsid w:val="19F4457B"/>
    <w:rsid w:val="1A0D20F5"/>
    <w:rsid w:val="1A302B61"/>
    <w:rsid w:val="1A4B14AE"/>
    <w:rsid w:val="1A8C6AB9"/>
    <w:rsid w:val="1C13080B"/>
    <w:rsid w:val="1C166EB5"/>
    <w:rsid w:val="1C220DAC"/>
    <w:rsid w:val="1C300176"/>
    <w:rsid w:val="1C62671B"/>
    <w:rsid w:val="1D842B08"/>
    <w:rsid w:val="1E086B41"/>
    <w:rsid w:val="1E5B2E6B"/>
    <w:rsid w:val="1EAE6274"/>
    <w:rsid w:val="1F8D653D"/>
    <w:rsid w:val="21313309"/>
    <w:rsid w:val="216B5645"/>
    <w:rsid w:val="22475AC6"/>
    <w:rsid w:val="224E5103"/>
    <w:rsid w:val="22DC1F14"/>
    <w:rsid w:val="234C142C"/>
    <w:rsid w:val="23953165"/>
    <w:rsid w:val="23E51121"/>
    <w:rsid w:val="250638E3"/>
    <w:rsid w:val="261F2CC6"/>
    <w:rsid w:val="262320BA"/>
    <w:rsid w:val="2645341A"/>
    <w:rsid w:val="269A2836"/>
    <w:rsid w:val="269F585A"/>
    <w:rsid w:val="26D27FE0"/>
    <w:rsid w:val="28840300"/>
    <w:rsid w:val="291B7F2D"/>
    <w:rsid w:val="29E00791"/>
    <w:rsid w:val="29E057D9"/>
    <w:rsid w:val="2A5126A6"/>
    <w:rsid w:val="2A735EBF"/>
    <w:rsid w:val="2A8425C4"/>
    <w:rsid w:val="2AE31665"/>
    <w:rsid w:val="2B0100FD"/>
    <w:rsid w:val="2B672139"/>
    <w:rsid w:val="2B694DF8"/>
    <w:rsid w:val="2BAE75C3"/>
    <w:rsid w:val="2CC20145"/>
    <w:rsid w:val="2CDA3913"/>
    <w:rsid w:val="2D2E40B9"/>
    <w:rsid w:val="2DE2125F"/>
    <w:rsid w:val="2E3507E9"/>
    <w:rsid w:val="2E491AA5"/>
    <w:rsid w:val="2F55038B"/>
    <w:rsid w:val="30122259"/>
    <w:rsid w:val="302E4EE6"/>
    <w:rsid w:val="305561A8"/>
    <w:rsid w:val="305C0AC8"/>
    <w:rsid w:val="310C2798"/>
    <w:rsid w:val="3159563F"/>
    <w:rsid w:val="319260BA"/>
    <w:rsid w:val="331C4697"/>
    <w:rsid w:val="337D5170"/>
    <w:rsid w:val="33EB5008"/>
    <w:rsid w:val="3417552F"/>
    <w:rsid w:val="350D1B97"/>
    <w:rsid w:val="353C4A95"/>
    <w:rsid w:val="35576FAA"/>
    <w:rsid w:val="35D67949"/>
    <w:rsid w:val="360C3E79"/>
    <w:rsid w:val="36B9379A"/>
    <w:rsid w:val="36D670D2"/>
    <w:rsid w:val="385B6A53"/>
    <w:rsid w:val="388304F9"/>
    <w:rsid w:val="39F64D72"/>
    <w:rsid w:val="3A1C106C"/>
    <w:rsid w:val="3AC41F47"/>
    <w:rsid w:val="3AEA6BF3"/>
    <w:rsid w:val="3BAB5E8A"/>
    <w:rsid w:val="3BF93E22"/>
    <w:rsid w:val="3C197C60"/>
    <w:rsid w:val="3C366C59"/>
    <w:rsid w:val="3CFF6852"/>
    <w:rsid w:val="3D3E4F5C"/>
    <w:rsid w:val="3D4623D0"/>
    <w:rsid w:val="3D5060DD"/>
    <w:rsid w:val="3E7B0AB4"/>
    <w:rsid w:val="3F7D3E62"/>
    <w:rsid w:val="42E71100"/>
    <w:rsid w:val="44423D51"/>
    <w:rsid w:val="44AD2C9F"/>
    <w:rsid w:val="45BB5620"/>
    <w:rsid w:val="46A6578D"/>
    <w:rsid w:val="46DA643C"/>
    <w:rsid w:val="474C000A"/>
    <w:rsid w:val="4793448F"/>
    <w:rsid w:val="48A414B5"/>
    <w:rsid w:val="490D1A65"/>
    <w:rsid w:val="496A70F0"/>
    <w:rsid w:val="49874486"/>
    <w:rsid w:val="4A727F0E"/>
    <w:rsid w:val="4ADC4757"/>
    <w:rsid w:val="4B0F7FC0"/>
    <w:rsid w:val="4B347654"/>
    <w:rsid w:val="4B7E5BC0"/>
    <w:rsid w:val="4C897F5F"/>
    <w:rsid w:val="4D0A4715"/>
    <w:rsid w:val="4D43565E"/>
    <w:rsid w:val="4DE979A7"/>
    <w:rsid w:val="4DEB077F"/>
    <w:rsid w:val="4EE94AA6"/>
    <w:rsid w:val="4EEE046C"/>
    <w:rsid w:val="4FE162F1"/>
    <w:rsid w:val="4FF15BB7"/>
    <w:rsid w:val="503F2148"/>
    <w:rsid w:val="50770B5B"/>
    <w:rsid w:val="51442A1A"/>
    <w:rsid w:val="51DA2F57"/>
    <w:rsid w:val="52795DB6"/>
    <w:rsid w:val="52997D16"/>
    <w:rsid w:val="52BA5FB7"/>
    <w:rsid w:val="533140F8"/>
    <w:rsid w:val="54597F17"/>
    <w:rsid w:val="54FB5722"/>
    <w:rsid w:val="55712ED6"/>
    <w:rsid w:val="56342CB2"/>
    <w:rsid w:val="5636681A"/>
    <w:rsid w:val="56943548"/>
    <w:rsid w:val="56A10C7E"/>
    <w:rsid w:val="56C43A23"/>
    <w:rsid w:val="57360CA8"/>
    <w:rsid w:val="578174D0"/>
    <w:rsid w:val="57991226"/>
    <w:rsid w:val="57AA0E65"/>
    <w:rsid w:val="582F3A30"/>
    <w:rsid w:val="58D65F34"/>
    <w:rsid w:val="58DA4822"/>
    <w:rsid w:val="59152EED"/>
    <w:rsid w:val="5941136F"/>
    <w:rsid w:val="5A012E75"/>
    <w:rsid w:val="5A8D5F0B"/>
    <w:rsid w:val="5AB83FA6"/>
    <w:rsid w:val="5B0F46E5"/>
    <w:rsid w:val="5B13235A"/>
    <w:rsid w:val="5B1B6BDE"/>
    <w:rsid w:val="5BB92DF8"/>
    <w:rsid w:val="5C254B1A"/>
    <w:rsid w:val="5C8304FE"/>
    <w:rsid w:val="5C841283"/>
    <w:rsid w:val="5C950521"/>
    <w:rsid w:val="5D2F7017"/>
    <w:rsid w:val="5D4D38E1"/>
    <w:rsid w:val="5DAB35B4"/>
    <w:rsid w:val="5DB76F19"/>
    <w:rsid w:val="5DBD46BC"/>
    <w:rsid w:val="60AA0CEE"/>
    <w:rsid w:val="614C65F4"/>
    <w:rsid w:val="6163338F"/>
    <w:rsid w:val="61E65C83"/>
    <w:rsid w:val="621E2C71"/>
    <w:rsid w:val="62BA7C8A"/>
    <w:rsid w:val="62C71A6A"/>
    <w:rsid w:val="63247AD7"/>
    <w:rsid w:val="63B60FBB"/>
    <w:rsid w:val="63BE1DAB"/>
    <w:rsid w:val="63D62347"/>
    <w:rsid w:val="63E809ED"/>
    <w:rsid w:val="64BA539F"/>
    <w:rsid w:val="64FD4427"/>
    <w:rsid w:val="650F5C47"/>
    <w:rsid w:val="65F14139"/>
    <w:rsid w:val="66FA45AE"/>
    <w:rsid w:val="677700BB"/>
    <w:rsid w:val="67BB1A17"/>
    <w:rsid w:val="69157C00"/>
    <w:rsid w:val="697D2EF4"/>
    <w:rsid w:val="69A80A2D"/>
    <w:rsid w:val="6AF97C15"/>
    <w:rsid w:val="6CC952A4"/>
    <w:rsid w:val="6D8B785D"/>
    <w:rsid w:val="6E453648"/>
    <w:rsid w:val="6E4F34E5"/>
    <w:rsid w:val="6E96578F"/>
    <w:rsid w:val="6F1726EA"/>
    <w:rsid w:val="6F6F7630"/>
    <w:rsid w:val="6FE657F5"/>
    <w:rsid w:val="706D058E"/>
    <w:rsid w:val="711079CE"/>
    <w:rsid w:val="71141AD8"/>
    <w:rsid w:val="712215E7"/>
    <w:rsid w:val="71B164C9"/>
    <w:rsid w:val="71C005BC"/>
    <w:rsid w:val="72664059"/>
    <w:rsid w:val="726C58FB"/>
    <w:rsid w:val="735E78D4"/>
    <w:rsid w:val="73704391"/>
    <w:rsid w:val="743F5A25"/>
    <w:rsid w:val="74AC4202"/>
    <w:rsid w:val="74D66FA0"/>
    <w:rsid w:val="75083ED1"/>
    <w:rsid w:val="75794161"/>
    <w:rsid w:val="76301839"/>
    <w:rsid w:val="766D15E2"/>
    <w:rsid w:val="775602E1"/>
    <w:rsid w:val="780B18EE"/>
    <w:rsid w:val="78E431F2"/>
    <w:rsid w:val="79FD5A43"/>
    <w:rsid w:val="7A107096"/>
    <w:rsid w:val="7C281CDE"/>
    <w:rsid w:val="7C566375"/>
    <w:rsid w:val="7CE41191"/>
    <w:rsid w:val="7D146FE4"/>
    <w:rsid w:val="7D234B30"/>
    <w:rsid w:val="7D372499"/>
    <w:rsid w:val="7D78151B"/>
    <w:rsid w:val="7DAA177B"/>
    <w:rsid w:val="7E186328"/>
    <w:rsid w:val="7E405B75"/>
    <w:rsid w:val="7E955828"/>
    <w:rsid w:val="7E9B578B"/>
    <w:rsid w:val="7F80456C"/>
    <w:rsid w:val="7FB16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Body Text"/>
    <w:basedOn w:val="1"/>
    <w:link w:val="30"/>
    <w:unhideWhenUsed/>
    <w:qFormat/>
    <w:uiPriority w:val="99"/>
    <w:pPr>
      <w:spacing w:after="120"/>
    </w:pPr>
  </w:style>
  <w:style w:type="paragraph" w:styleId="3">
    <w:name w:val="annotation text"/>
    <w:basedOn w:val="1"/>
    <w:link w:val="33"/>
    <w:unhideWhenUsed/>
    <w:qFormat/>
    <w:uiPriority w:val="99"/>
    <w:pPr>
      <w:jc w:val="left"/>
    </w:pPr>
  </w:style>
  <w:style w:type="paragraph" w:styleId="4">
    <w:name w:val="Plain Text"/>
    <w:basedOn w:val="1"/>
    <w:qFormat/>
    <w:uiPriority w:val="0"/>
    <w:rPr>
      <w:rFonts w:ascii="宋体" w:hAnsi="Courier New" w:eastAsia="宋体" w:cs="Courier New"/>
      <w:szCs w:val="21"/>
    </w:rPr>
  </w:style>
  <w:style w:type="paragraph" w:styleId="5">
    <w:name w:val="Balloon Text"/>
    <w:basedOn w:val="1"/>
    <w:link w:val="31"/>
    <w:semiHidden/>
    <w:unhideWhenUsed/>
    <w:qFormat/>
    <w:uiPriority w:val="99"/>
    <w:rPr>
      <w:sz w:val="18"/>
      <w:szCs w:val="18"/>
    </w:rPr>
  </w:style>
  <w:style w:type="paragraph" w:styleId="6">
    <w:name w:val="footer"/>
    <w:basedOn w:val="1"/>
    <w:link w:val="24"/>
    <w:unhideWhenUsed/>
    <w:qFormat/>
    <w:uiPriority w:val="99"/>
    <w:pPr>
      <w:tabs>
        <w:tab w:val="center" w:pos="4153"/>
        <w:tab w:val="right" w:pos="8306"/>
      </w:tabs>
      <w:snapToGrid w:val="0"/>
      <w:jc w:val="left"/>
    </w:pPr>
    <w:rPr>
      <w:sz w:val="18"/>
      <w:szCs w:val="18"/>
    </w:rPr>
  </w:style>
  <w:style w:type="paragraph" w:styleId="7">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toc 2"/>
    <w:basedOn w:val="1"/>
    <w:next w:val="1"/>
    <w:semiHidden/>
    <w:unhideWhenUsed/>
    <w:qFormat/>
    <w:uiPriority w:val="39"/>
    <w:pPr>
      <w:ind w:left="420" w:leftChars="200"/>
    </w:pPr>
  </w:style>
  <w:style w:type="paragraph" w:styleId="10">
    <w:name w:val="HTML Preformatted"/>
    <w:basedOn w:val="1"/>
    <w:link w:val="2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sz w:val="24"/>
      <w:szCs w:val="24"/>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annotation subject"/>
    <w:basedOn w:val="3"/>
    <w:next w:val="3"/>
    <w:link w:val="34"/>
    <w:semiHidden/>
    <w:unhideWhenUsed/>
    <w:qFormat/>
    <w:uiPriority w:val="99"/>
    <w:rPr>
      <w:b/>
      <w:bCs/>
    </w:rPr>
  </w:style>
  <w:style w:type="table" w:styleId="14">
    <w:name w:val="Table Grid"/>
    <w:basedOn w:val="13"/>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6">
    <w:name w:val="Strong"/>
    <w:qFormat/>
    <w:uiPriority w:val="22"/>
    <w:rPr>
      <w:b/>
      <w:bCs/>
    </w:rPr>
  </w:style>
  <w:style w:type="character" w:styleId="17">
    <w:name w:val="Emphasis"/>
    <w:basedOn w:val="15"/>
    <w:qFormat/>
    <w:uiPriority w:val="20"/>
    <w:rPr>
      <w:i/>
    </w:rPr>
  </w:style>
  <w:style w:type="character" w:styleId="18">
    <w:name w:val="Hyperlink"/>
    <w:basedOn w:val="15"/>
    <w:unhideWhenUsed/>
    <w:qFormat/>
    <w:uiPriority w:val="99"/>
    <w:rPr>
      <w:color w:val="0000FF"/>
      <w:u w:val="single"/>
    </w:rPr>
  </w:style>
  <w:style w:type="character" w:styleId="19">
    <w:name w:val="annotation reference"/>
    <w:basedOn w:val="15"/>
    <w:semiHidden/>
    <w:unhideWhenUsed/>
    <w:qFormat/>
    <w:uiPriority w:val="99"/>
    <w:rPr>
      <w:sz w:val="21"/>
      <w:szCs w:val="21"/>
    </w:rPr>
  </w:style>
  <w:style w:type="paragraph" w:styleId="20">
    <w:name w:val="List Paragraph"/>
    <w:basedOn w:val="1"/>
    <w:qFormat/>
    <w:uiPriority w:val="34"/>
    <w:pPr>
      <w:ind w:left="720"/>
      <w:contextualSpacing/>
    </w:pPr>
    <w:rPr>
      <w:rFonts w:ascii="Times New Roman" w:hAnsi="Times New Roman" w:eastAsia="宋体" w:cs="Times New Roman"/>
      <w:szCs w:val="24"/>
    </w:rPr>
  </w:style>
  <w:style w:type="character" w:customStyle="1" w:styleId="21">
    <w:name w:val="HTML 预设格式 字符"/>
    <w:basedOn w:val="15"/>
    <w:link w:val="10"/>
    <w:qFormat/>
    <w:uiPriority w:val="99"/>
    <w:rPr>
      <w:rFonts w:ascii="Arial" w:hAnsi="Arial" w:cs="Arial"/>
      <w:sz w:val="24"/>
      <w:szCs w:val="24"/>
    </w:rPr>
  </w:style>
  <w:style w:type="character" w:customStyle="1" w:styleId="22">
    <w:name w:val="HTML 预设格式 字符1"/>
    <w:basedOn w:val="15"/>
    <w:semiHidden/>
    <w:qFormat/>
    <w:uiPriority w:val="99"/>
    <w:rPr>
      <w:rFonts w:ascii="Courier New" w:hAnsi="Courier New" w:cs="Courier New"/>
      <w:sz w:val="20"/>
      <w:szCs w:val="20"/>
    </w:rPr>
  </w:style>
  <w:style w:type="character" w:customStyle="1" w:styleId="23">
    <w:name w:val="页眉 字符"/>
    <w:basedOn w:val="15"/>
    <w:link w:val="7"/>
    <w:qFormat/>
    <w:uiPriority w:val="99"/>
    <w:rPr>
      <w:sz w:val="18"/>
      <w:szCs w:val="18"/>
    </w:rPr>
  </w:style>
  <w:style w:type="character" w:customStyle="1" w:styleId="24">
    <w:name w:val="页脚 字符"/>
    <w:basedOn w:val="15"/>
    <w:link w:val="6"/>
    <w:qFormat/>
    <w:uiPriority w:val="99"/>
    <w:rPr>
      <w:sz w:val="18"/>
      <w:szCs w:val="18"/>
    </w:rPr>
  </w:style>
  <w:style w:type="character" w:customStyle="1" w:styleId="25">
    <w:name w:val="font41"/>
    <w:basedOn w:val="15"/>
    <w:qFormat/>
    <w:uiPriority w:val="0"/>
    <w:rPr>
      <w:rFonts w:hint="eastAsia" w:ascii="宋体" w:hAnsi="宋体" w:eastAsia="宋体" w:cs="宋体"/>
      <w:color w:val="FF0000"/>
      <w:sz w:val="22"/>
      <w:szCs w:val="22"/>
      <w:u w:val="none"/>
    </w:rPr>
  </w:style>
  <w:style w:type="character" w:customStyle="1" w:styleId="26">
    <w:name w:val="font51"/>
    <w:basedOn w:val="15"/>
    <w:qFormat/>
    <w:uiPriority w:val="0"/>
    <w:rPr>
      <w:rFonts w:hint="eastAsia" w:ascii="宋体" w:hAnsi="宋体" w:eastAsia="宋体" w:cs="宋体"/>
      <w:color w:val="000000"/>
      <w:sz w:val="22"/>
      <w:szCs w:val="22"/>
      <w:u w:val="none"/>
    </w:rPr>
  </w:style>
  <w:style w:type="paragraph" w:customStyle="1" w:styleId="27">
    <w:name w:val="WPSOffice手动目录 1"/>
    <w:qFormat/>
    <w:uiPriority w:val="0"/>
    <w:rPr>
      <w:rFonts w:ascii="Times New Roman" w:hAnsi="Times New Roman" w:eastAsia="宋体" w:cs="Times New Roman"/>
      <w:lang w:val="en-US" w:eastAsia="zh-CN" w:bidi="ar-SA"/>
    </w:rPr>
  </w:style>
  <w:style w:type="paragraph" w:customStyle="1" w:styleId="28">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9">
    <w:name w:val="bumpedfont15"/>
    <w:basedOn w:val="15"/>
    <w:qFormat/>
    <w:uiPriority w:val="0"/>
  </w:style>
  <w:style w:type="character" w:customStyle="1" w:styleId="30">
    <w:name w:val="正文文本 字符"/>
    <w:basedOn w:val="15"/>
    <w:link w:val="2"/>
    <w:qFormat/>
    <w:uiPriority w:val="99"/>
    <w:rPr>
      <w:rFonts w:asciiTheme="minorHAnsi" w:hAnsiTheme="minorHAnsi" w:eastAsiaTheme="minorEastAsia" w:cstheme="minorBidi"/>
      <w:kern w:val="2"/>
      <w:sz w:val="21"/>
      <w:szCs w:val="22"/>
    </w:rPr>
  </w:style>
  <w:style w:type="character" w:customStyle="1" w:styleId="31">
    <w:name w:val="批注框文本 字符"/>
    <w:basedOn w:val="15"/>
    <w:link w:val="5"/>
    <w:semiHidden/>
    <w:qFormat/>
    <w:uiPriority w:val="99"/>
    <w:rPr>
      <w:rFonts w:asciiTheme="minorHAnsi" w:hAnsiTheme="minorHAnsi" w:eastAsiaTheme="minorEastAsia" w:cstheme="minorBidi"/>
      <w:kern w:val="2"/>
      <w:sz w:val="18"/>
      <w:szCs w:val="18"/>
    </w:rPr>
  </w:style>
  <w:style w:type="paragraph" w:customStyle="1" w:styleId="32">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3">
    <w:name w:val="批注文字 字符"/>
    <w:basedOn w:val="15"/>
    <w:link w:val="3"/>
    <w:qFormat/>
    <w:uiPriority w:val="99"/>
    <w:rPr>
      <w:rFonts w:asciiTheme="minorHAnsi" w:hAnsiTheme="minorHAnsi" w:eastAsiaTheme="minorEastAsia" w:cstheme="minorBidi"/>
      <w:kern w:val="2"/>
      <w:sz w:val="21"/>
      <w:szCs w:val="22"/>
    </w:rPr>
  </w:style>
  <w:style w:type="character" w:customStyle="1" w:styleId="34">
    <w:name w:val="批注主题 字符"/>
    <w:basedOn w:val="33"/>
    <w:link w:val="12"/>
    <w:semiHidden/>
    <w:qFormat/>
    <w:uiPriority w:val="99"/>
    <w:rPr>
      <w:rFonts w:asciiTheme="minorHAnsi" w:hAnsiTheme="minorHAnsi" w:eastAsiaTheme="minorEastAsia" w:cstheme="minorBidi"/>
      <w:b/>
      <w:bCs/>
      <w:kern w:val="2"/>
      <w:sz w:val="21"/>
      <w:szCs w:val="22"/>
    </w:rPr>
  </w:style>
  <w:style w:type="paragraph" w:customStyle="1" w:styleId="35">
    <w:name w:val="列表段落1"/>
    <w:basedOn w:val="1"/>
    <w:qFormat/>
    <w:uiPriority w:val="0"/>
    <w:pPr>
      <w:ind w:firstLine="420"/>
    </w:pPr>
  </w:style>
  <w:style w:type="paragraph" w:customStyle="1" w:styleId="36">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C84320-C1C2-4ACD-BFAA-2A4A5C1FFD09}">
  <ds:schemaRefs/>
</ds:datastoreItem>
</file>

<file path=docProps/app.xml><?xml version="1.0" encoding="utf-8"?>
<Properties xmlns="http://schemas.openxmlformats.org/officeDocument/2006/extended-properties" xmlns:vt="http://schemas.openxmlformats.org/officeDocument/2006/docPropsVTypes">
  <Template>Normal</Template>
  <Pages>5</Pages>
  <Words>2471</Words>
  <Characters>2489</Characters>
  <Lines>18</Lines>
  <Paragraphs>5</Paragraphs>
  <TotalTime>17</TotalTime>
  <ScaleCrop>false</ScaleCrop>
  <LinksUpToDate>false</LinksUpToDate>
  <CharactersWithSpaces>2557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2022-09-21T03:46:00Z</dcterms:created>
  <dc:creator>吕月</dc:creator>
  <cp:lastModifiedBy> 麻花lulu</cp:lastModifiedBy>
  <cp:lastPrinted>2022-07-29T06:19:00Z</cp:lastPrinted>
  <dcterms:modified xsi:type="dcterms:W3CDTF">2022-09-26T09:06:24Z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4D7941B61AC946218A7099ADBE793613</vt:lpwstr>
  </property>
</Properties>
</file>