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“甘肃省工程勘察设计大师讲堂系列活动”</w:t>
      </w:r>
    </w:p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报名回执表</w:t>
      </w:r>
    </w:p>
    <w:tbl>
      <w:tblPr>
        <w:tblStyle w:val="3"/>
        <w:tblpPr w:leftFromText="182" w:rightFromText="182" w:vertAnchor="text" w:horzAnchor="page" w:tblpX="1015" w:tblpY="377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95"/>
        <w:gridCol w:w="1680"/>
        <w:gridCol w:w="2145"/>
        <w:gridCol w:w="20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单位名称</w:t>
            </w:r>
          </w:p>
        </w:tc>
        <w:tc>
          <w:tcPr>
            <w:tcW w:w="8985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地址</w:t>
            </w:r>
            <w:bookmarkStart w:id="0" w:name="_GoBack"/>
            <w:bookmarkEnd w:id="0"/>
          </w:p>
        </w:tc>
        <w:tc>
          <w:tcPr>
            <w:tcW w:w="898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序号</w:t>
            </w:r>
          </w:p>
        </w:tc>
        <w:tc>
          <w:tcPr>
            <w:tcW w:w="169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6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214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手机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邮箱</w:t>
            </w:r>
          </w:p>
        </w:tc>
        <w:tc>
          <w:tcPr>
            <w:tcW w:w="1395" w:type="dxa"/>
            <w:tcBorders>
              <w:top w:val="doub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华文仿宋"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联系方式</w:t>
            </w:r>
          </w:p>
        </w:tc>
        <w:tc>
          <w:tcPr>
            <w:tcW w:w="729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甘肃省勘察设计协会：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韩 璐  秦柯悦</w:t>
            </w: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 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电话：0931-8470567   8465724  </w:t>
            </w:r>
          </w:p>
          <w:p>
            <w:pPr>
              <w:spacing w:line="200" w:lineRule="atLeas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邮箱：kcsjxh@qq.com</w:t>
            </w:r>
          </w:p>
        </w:tc>
      </w:tr>
    </w:tbl>
    <w:p>
      <w:pPr>
        <w:ind w:firstLine="482" w:firstLineChars="100"/>
        <w:jc w:val="center"/>
        <w:rPr>
          <w:rFonts w:hint="eastAsia" w:asciiTheme="majorEastAsia" w:hAnsiTheme="majorEastAsia" w:eastAsiaTheme="majorEastAsia"/>
          <w:b/>
          <w:bCs/>
          <w:sz w:val="48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000000"/>
    <w:rsid w:val="08AA3D8F"/>
    <w:rsid w:val="19653165"/>
    <w:rsid w:val="36B960C5"/>
    <w:rsid w:val="5A07072E"/>
    <w:rsid w:val="61A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cs="仿宋"/>
      <w:kern w:val="0"/>
      <w:sz w:val="28"/>
      <w:szCs w:val="28"/>
      <w:lang w:val="zh-CN" w:bidi="zh-CN"/>
    </w:rPr>
  </w:style>
  <w:style w:type="character" w:customStyle="1" w:styleId="5">
    <w:name w:val="NormalCharacter"/>
    <w:semiHidden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110</Characters>
  <Lines>0</Lines>
  <Paragraphs>0</Paragraphs>
  <TotalTime>1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2021-10-11T08:58:00Z</dcterms:created>
  <dc:creator>DELL</dc:creator>
  <cp:lastModifiedBy> 麻花lulu</cp:lastModifiedBy>
  <dcterms:modified xsi:type="dcterms:W3CDTF">2023-02-27T10:01:29Z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5E41F3B303D340FF87FC317FE621B879</vt:lpwstr>
  </property>
</Properties>
</file>